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EB458">
      <w:pPr>
        <w:keepNext w:val="0"/>
        <w:keepLines w:val="0"/>
        <w:widowControl/>
        <w:suppressLineNumbers w:val="0"/>
        <w:spacing w:before="0" w:beforeAutospacing="0" w:after="240" w:afterAutospacing="0"/>
        <w:ind w:left="0" w:right="0"/>
        <w:jc w:val="center"/>
        <w:rPr>
          <w:rFonts w:hint="eastAsia" w:ascii="方正小标宋简体" w:hAnsi="方正小标宋简体" w:eastAsia="方正小标宋简体" w:cs="方正小标宋简体"/>
          <w:kern w:val="0"/>
          <w:sz w:val="44"/>
          <w:szCs w:val="44"/>
          <w:lang w:val="en-GB" w:eastAsia="zh-CN" w:bidi="ar"/>
        </w:rPr>
      </w:pPr>
      <w:r>
        <w:rPr>
          <w:rFonts w:hint="eastAsia" w:ascii="方正小标宋简体" w:hAnsi="方正小标宋简体" w:eastAsia="方正小标宋简体" w:cs="方正小标宋简体"/>
          <w:kern w:val="0"/>
          <w:sz w:val="44"/>
          <w:szCs w:val="44"/>
          <w:lang w:val="en-GB" w:eastAsia="zh-CN" w:bidi="ar"/>
        </w:rPr>
        <w:t>经营者集中简易案件公示表</w:t>
      </w:r>
    </w:p>
    <w:tbl>
      <w:tblPr>
        <w:tblStyle w:val="3"/>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2533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vAlign w:val="center"/>
          </w:tcPr>
          <w:p w14:paraId="2171D8B6">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案件名称</w:t>
            </w:r>
          </w:p>
        </w:tc>
        <w:tc>
          <w:tcPr>
            <w:tcW w:w="7700" w:type="dxa"/>
            <w:gridSpan w:val="2"/>
            <w:vAlign w:val="center"/>
          </w:tcPr>
          <w:p w14:paraId="3764D75D">
            <w:pPr>
              <w:widowControl/>
              <w:adjustRightInd w:val="0"/>
              <w:snapToGrid w:val="0"/>
              <w:rPr>
                <w:rFonts w:hint="default" w:ascii="Times New Roman" w:hAnsi="Times New Roman" w:cs="Times New Roman"/>
                <w:bCs/>
                <w:color w:val="000000"/>
                <w:sz w:val="24"/>
              </w:rPr>
            </w:pPr>
            <w:bookmarkStart w:id="0" w:name="_GoBack"/>
            <w:r>
              <w:rPr>
                <w:rFonts w:hint="default" w:ascii="Times New Roman" w:hAnsi="Times New Roman" w:cs="Times New Roman"/>
                <w:sz w:val="24"/>
              </w:rPr>
              <w:t>广东兴发铝业有限公司与浙江华峰海拓科技有限公司新设合营企业案</w:t>
            </w:r>
            <w:bookmarkEnd w:id="0"/>
          </w:p>
        </w:tc>
      </w:tr>
      <w:tr w14:paraId="5572D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D9D9D9"/>
            <w:vAlign w:val="center"/>
          </w:tcPr>
          <w:p w14:paraId="7F1D5BC2">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交易概况（限200字内）</w:t>
            </w:r>
          </w:p>
        </w:tc>
        <w:tc>
          <w:tcPr>
            <w:tcW w:w="7700" w:type="dxa"/>
            <w:gridSpan w:val="2"/>
            <w:vAlign w:val="center"/>
          </w:tcPr>
          <w:p w14:paraId="5F41AA83">
            <w:pPr>
              <w:widowControl/>
              <w:adjustRightInd w:val="0"/>
              <w:snapToGrid w:val="0"/>
              <w:rPr>
                <w:rFonts w:hint="default" w:ascii="Times New Roman" w:hAnsi="Times New Roman" w:cs="Times New Roman"/>
                <w:sz w:val="24"/>
              </w:rPr>
            </w:pPr>
            <w:r>
              <w:rPr>
                <w:rFonts w:hint="default" w:ascii="Times New Roman" w:hAnsi="Times New Roman" w:cs="Times New Roman"/>
                <w:sz w:val="24"/>
              </w:rPr>
              <w:t>广东兴发铝业有限公司（“</w:t>
            </w:r>
            <w:r>
              <w:rPr>
                <w:rFonts w:hint="default" w:ascii="Times New Roman" w:hAnsi="Times New Roman" w:cs="Times New Roman"/>
                <w:b/>
                <w:bCs/>
                <w:sz w:val="24"/>
              </w:rPr>
              <w:t>兴发铝业</w:t>
            </w:r>
            <w:r>
              <w:rPr>
                <w:rFonts w:hint="default" w:ascii="Times New Roman" w:hAnsi="Times New Roman" w:cs="Times New Roman"/>
                <w:sz w:val="24"/>
              </w:rPr>
              <w:t>”）、浙江华峰海拓科技有限公司（“</w:t>
            </w:r>
            <w:r>
              <w:rPr>
                <w:rFonts w:hint="default" w:ascii="Times New Roman" w:hAnsi="Times New Roman" w:cs="Times New Roman"/>
                <w:b/>
                <w:bCs/>
                <w:sz w:val="24"/>
              </w:rPr>
              <w:t>浙江华峰</w:t>
            </w:r>
            <w:r>
              <w:rPr>
                <w:rFonts w:hint="default" w:ascii="Times New Roman" w:hAnsi="Times New Roman" w:cs="Times New Roman"/>
                <w:sz w:val="24"/>
              </w:rPr>
              <w:t>”）、恒通亚洲科技有限公司与冠满控股有限公司（“</w:t>
            </w:r>
            <w:r>
              <w:rPr>
                <w:rFonts w:hint="default" w:ascii="Times New Roman" w:hAnsi="Times New Roman" w:cs="Times New Roman"/>
                <w:b/>
                <w:bCs/>
                <w:sz w:val="24"/>
              </w:rPr>
              <w:t>冠满控股</w:t>
            </w:r>
            <w:r>
              <w:rPr>
                <w:rFonts w:hint="default" w:ascii="Times New Roman" w:hAnsi="Times New Roman" w:cs="Times New Roman"/>
                <w:sz w:val="24"/>
              </w:rPr>
              <w:t>”）签署协议，拟分别以36%、35.1%、19%、9.9%的持股比例，投资一家生产公司和一家销售公司（合称为“</w:t>
            </w:r>
            <w:r>
              <w:rPr>
                <w:rFonts w:hint="default" w:ascii="Times New Roman" w:hAnsi="Times New Roman" w:cs="Times New Roman"/>
                <w:b/>
                <w:bCs/>
                <w:sz w:val="24"/>
              </w:rPr>
              <w:t>项目公司</w:t>
            </w:r>
            <w:r>
              <w:rPr>
                <w:rFonts w:hint="default" w:ascii="Times New Roman" w:hAnsi="Times New Roman" w:cs="Times New Roman"/>
                <w:sz w:val="24"/>
              </w:rPr>
              <w:t>”），其中冠满控股将表决权委托给兴发铝业。项目公司将在中国境外开产铝棒、铝杆、铝板锭业务。交易后，兴发铝业与浙江华峰将分别持有项目公司45.9%、35.1%的表决权，共同控制项目公司。</w:t>
            </w:r>
          </w:p>
        </w:tc>
      </w:tr>
      <w:tr w14:paraId="08A31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restart"/>
            <w:shd w:val="clear" w:color="auto" w:fill="D9D9D9"/>
            <w:vAlign w:val="center"/>
          </w:tcPr>
          <w:p w14:paraId="1BA0F118">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参与集中的经营者简介（每个限100字内）</w:t>
            </w:r>
          </w:p>
        </w:tc>
        <w:tc>
          <w:tcPr>
            <w:tcW w:w="1476" w:type="dxa"/>
            <w:vAlign w:val="center"/>
          </w:tcPr>
          <w:p w14:paraId="7FA9B873">
            <w:pPr>
              <w:pStyle w:val="2"/>
              <w:widowControl/>
              <w:adjustRightInd w:val="0"/>
              <w:snapToGrid w:val="0"/>
              <w:spacing w:after="0"/>
              <w:rPr>
                <w:rFonts w:hint="default" w:ascii="Times New Roman" w:hAnsi="Times New Roman" w:eastAsia="宋体" w:cs="Times New Roman"/>
                <w:bCs/>
                <w:color w:val="000000"/>
                <w:sz w:val="24"/>
                <w:lang w:val="en-US" w:eastAsia="zh-CN"/>
              </w:rPr>
            </w:pPr>
            <w:r>
              <w:rPr>
                <w:rFonts w:hint="default" w:ascii="Times New Roman" w:hAnsi="Times New Roman" w:cs="Times New Roman"/>
                <w:bCs/>
                <w:color w:val="000000"/>
                <w:sz w:val="24"/>
                <w:lang w:val="en-US" w:eastAsia="zh-CN"/>
              </w:rPr>
              <w:t>1</w:t>
            </w:r>
            <w:r>
              <w:rPr>
                <w:rFonts w:hint="default" w:ascii="Times New Roman" w:hAnsi="Times New Roman" w:cs="Times New Roman"/>
                <w:bCs/>
                <w:color w:val="000000"/>
                <w:sz w:val="24"/>
              </w:rPr>
              <w:t>.</w:t>
            </w:r>
            <w:r>
              <w:rPr>
                <w:rFonts w:hint="eastAsia" w:cs="Times New Roman"/>
                <w:bCs/>
                <w:color w:val="000000"/>
                <w:sz w:val="24"/>
                <w:lang w:val="en-US" w:eastAsia="zh-CN"/>
              </w:rPr>
              <w:t>兴发铝业</w:t>
            </w:r>
          </w:p>
        </w:tc>
        <w:tc>
          <w:tcPr>
            <w:tcW w:w="6224" w:type="dxa"/>
            <w:vAlign w:val="center"/>
          </w:tcPr>
          <w:p w14:paraId="1FB31EAD">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兴发铝业于2006年5月26日成立于广东省佛山市，主要从事铝材研发、生产及销售业务。</w:t>
            </w:r>
          </w:p>
          <w:p w14:paraId="0FE19382">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sz w:val="24"/>
              </w:rPr>
              <w:t>兴发铝业最终控制人为广东省广新控股集团有限公司，主要从事资本投资业务，投资领域包括新材料、生物医药与食品、数字创意与融合服务三大板块。</w:t>
            </w:r>
          </w:p>
        </w:tc>
      </w:tr>
      <w:tr w14:paraId="4B375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14:paraId="6C452F46">
            <w:pPr>
              <w:pStyle w:val="2"/>
              <w:widowControl/>
              <w:adjustRightInd w:val="0"/>
              <w:snapToGrid w:val="0"/>
              <w:spacing w:after="0"/>
              <w:jc w:val="center"/>
              <w:rPr>
                <w:rFonts w:hint="default" w:ascii="Times New Roman" w:hAnsi="Times New Roman" w:cs="Times New Roman"/>
                <w:bCs/>
                <w:color w:val="000000"/>
                <w:sz w:val="24"/>
              </w:rPr>
            </w:pPr>
          </w:p>
        </w:tc>
        <w:tc>
          <w:tcPr>
            <w:tcW w:w="1476" w:type="dxa"/>
            <w:vAlign w:val="center"/>
          </w:tcPr>
          <w:p w14:paraId="571A67C1">
            <w:pPr>
              <w:pStyle w:val="2"/>
              <w:widowControl/>
              <w:adjustRightInd w:val="0"/>
              <w:snapToGrid w:val="0"/>
              <w:spacing w:after="0"/>
              <w:rPr>
                <w:rFonts w:hint="default" w:ascii="Times New Roman" w:hAnsi="Times New Roman" w:cs="Times New Roman"/>
                <w:bCs/>
                <w:color w:val="000000"/>
                <w:sz w:val="24"/>
                <w:lang w:val="en-US" w:eastAsia="zh-CN"/>
              </w:rPr>
            </w:pPr>
            <w:r>
              <w:rPr>
                <w:rFonts w:hint="default" w:ascii="Times New Roman" w:hAnsi="Times New Roman" w:cs="Times New Roman"/>
                <w:bCs/>
                <w:color w:val="000000"/>
                <w:sz w:val="24"/>
                <w:lang w:val="en-US" w:eastAsia="zh-CN"/>
              </w:rPr>
              <w:t>2.</w:t>
            </w:r>
            <w:r>
              <w:rPr>
                <w:rFonts w:hint="eastAsia" w:cs="Times New Roman"/>
                <w:bCs/>
                <w:color w:val="000000"/>
                <w:sz w:val="24"/>
                <w:lang w:val="en-US" w:eastAsia="zh-CN"/>
              </w:rPr>
              <w:t>浙江华峰</w:t>
            </w:r>
          </w:p>
        </w:tc>
        <w:tc>
          <w:tcPr>
            <w:tcW w:w="6224" w:type="dxa"/>
            <w:vAlign w:val="center"/>
          </w:tcPr>
          <w:p w14:paraId="355CDF04">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浙江华峰于2020年11月24日成立于浙江省温州市，主要开展铝行业的股权投资等业务。</w:t>
            </w:r>
          </w:p>
          <w:p w14:paraId="540FD565">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浙江华峰最终控制人为自然人，主要通过华峰集团有限公司从事聚氨酯、聚酰胺、生物基材料、可降解塑料和铝产业链业务及其配套业务。</w:t>
            </w:r>
          </w:p>
        </w:tc>
      </w:tr>
      <w:tr w14:paraId="01EE5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D9D9D9"/>
            <w:vAlign w:val="center"/>
          </w:tcPr>
          <w:p w14:paraId="2F10DE1C">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简易案件理由（可以单选，也可以多选）</w:t>
            </w:r>
          </w:p>
        </w:tc>
        <w:tc>
          <w:tcPr>
            <w:tcW w:w="7700" w:type="dxa"/>
            <w:gridSpan w:val="2"/>
            <w:vAlign w:val="center"/>
          </w:tcPr>
          <w:p w14:paraId="1D3D1448">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1、在同一相关市场，所有参与集中的经营者所占市场份额之和小于15%。</w:t>
            </w:r>
          </w:p>
        </w:tc>
      </w:tr>
      <w:tr w14:paraId="6C3CB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D9D9D9"/>
            <w:vAlign w:val="center"/>
          </w:tcPr>
          <w:p w14:paraId="7287F359">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124CA7DB">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2、存在上下游关系的参与集中的经营者，在上下游市场所占的市场份额均小于25%。</w:t>
            </w:r>
          </w:p>
        </w:tc>
      </w:tr>
      <w:tr w14:paraId="108F5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D9D9D9"/>
            <w:vAlign w:val="center"/>
          </w:tcPr>
          <w:p w14:paraId="6F30605D">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13597AB">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3、不在同一相关市场、也不存在上下游关系的参与集中的经营者，在与交易有关的每个市场所占的份额均小于25%。</w:t>
            </w:r>
          </w:p>
        </w:tc>
      </w:tr>
      <w:tr w14:paraId="00074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jc w:val="center"/>
        </w:trPr>
        <w:tc>
          <w:tcPr>
            <w:tcW w:w="1940" w:type="dxa"/>
            <w:vMerge w:val="continue"/>
            <w:shd w:val="clear" w:color="auto" w:fill="D9D9D9"/>
            <w:vAlign w:val="center"/>
          </w:tcPr>
          <w:p w14:paraId="08DB4122">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12698024">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4、参与集中的经营者在中国境外设立合营企业，合营企业不在中国境内从事经济活动。</w:t>
            </w:r>
          </w:p>
        </w:tc>
      </w:tr>
      <w:tr w14:paraId="2684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D9D9D9"/>
            <w:vAlign w:val="center"/>
          </w:tcPr>
          <w:p w14:paraId="6990F173">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3F7A8C66">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5、参与集中的经营者收购境外企业股权或资产的，该境外企业不在中国境内从事经济活动。</w:t>
            </w:r>
          </w:p>
        </w:tc>
      </w:tr>
      <w:tr w14:paraId="6F361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D9D9D9"/>
            <w:vAlign w:val="center"/>
          </w:tcPr>
          <w:p w14:paraId="53668942">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9508A34">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6、由两个以上的经营者共同控制的合营企业，通过集中被其中一个或一个以上经营者控制。</w:t>
            </w:r>
          </w:p>
        </w:tc>
      </w:tr>
      <w:tr w14:paraId="5FA13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940" w:type="dxa"/>
            <w:shd w:val="clear" w:color="auto" w:fill="D9D9D9"/>
            <w:vAlign w:val="center"/>
          </w:tcPr>
          <w:p w14:paraId="7D156512">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备注</w:t>
            </w:r>
          </w:p>
        </w:tc>
        <w:tc>
          <w:tcPr>
            <w:tcW w:w="7700" w:type="dxa"/>
            <w:gridSpan w:val="2"/>
            <w:vAlign w:val="center"/>
          </w:tcPr>
          <w:p w14:paraId="266BE350">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b/>
                <w:color w:val="000000" w:themeColor="text1"/>
                <w:kern w:val="0"/>
                <w:sz w:val="24"/>
                <w:szCs w:val="24"/>
                <w:lang w:val="en-US" w:eastAsia="zh-CN" w:bidi="ar-SA"/>
                <w14:textFill>
                  <w14:solidFill>
                    <w14:schemeClr w14:val="tx1"/>
                  </w14:solidFill>
                </w14:textFill>
              </w:rPr>
            </w:pPr>
            <w:r>
              <w:rPr>
                <w:rFonts w:hint="eastAsia"/>
                <w:b w:val="0"/>
                <w:bCs/>
                <w:color w:val="000000" w:themeColor="text1"/>
                <w:kern w:val="0"/>
                <w:sz w:val="24"/>
                <w:lang w:eastAsia="zh-CN"/>
                <w14:textFill>
                  <w14:solidFill>
                    <w14:schemeClr w14:val="tx1"/>
                  </w14:solidFill>
                </w14:textFill>
              </w:rPr>
              <w:t>不适用</w:t>
            </w:r>
          </w:p>
        </w:tc>
      </w:tr>
    </w:tbl>
    <w:p w14:paraId="689E1B9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小标宋简体">
    <w:panose1 w:val="02010601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8E577D"/>
    <w:rsid w:val="7D8E5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省市场监督管理局</Company>
  <Pages>1</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2025-09-28T07:25:00Z</dcterms:created>
  <dc:creator>胡翌婧</dc:creator>
  <cp:lastModifiedBy>胡翌婧</cp:lastModifiedBy>
  <dcterms:modified xsi:type="dcterms:W3CDTF">2025-09-28T08:04:26Z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9EC22FE4081A445EB58F59C5A83F2B8E_11</vt:lpwstr>
  </property>
  <property fmtid="{D5CDD505-2E9C-101B-9397-08002B2CF9AE}" pid="4" name="KSOTemplateDocerSaveRecord">
    <vt:lpwstr>eyJoZGlkIjoiODNjM2VkZWUwYjdkZDYzZGY2NmZiZGNiZGIyMjFjYWIiLCJ1c2VySWQiOiIyNDQ2MzYxMzgifQ==</vt:lpwstr>
  </property>
</Properties>
</file>