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73846"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Style w:val="1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66E5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26C6C407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25AF7EB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szCs w:val="21"/>
              </w:rPr>
              <w:t>深圳市东阳光实业发展有限公司收购</w:t>
            </w:r>
            <w:r>
              <w:rPr>
                <w:rFonts w:hint="eastAsia" w:ascii="宋体" w:hAnsi="宋体"/>
              </w:rPr>
              <w:t>梧桐数基科技有限公司等八家公司股权案</w:t>
            </w:r>
          </w:p>
        </w:tc>
      </w:tr>
      <w:tr w14:paraId="288F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146E581E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</w:t>
            </w:r>
          </w:p>
        </w:tc>
        <w:tc>
          <w:tcPr>
            <w:tcW w:w="7700" w:type="dxa"/>
            <w:gridSpan w:val="2"/>
            <w:vAlign w:val="center"/>
          </w:tcPr>
          <w:p w14:paraId="6837323D">
            <w:pPr>
              <w:widowControl w:val="0"/>
              <w:adjustRightInd w:val="0"/>
              <w:snapToGrid w:val="0"/>
              <w:spacing w:after="0"/>
              <w:rPr>
                <w:bCs/>
                <w:i/>
                <w:iCs/>
                <w:color w:val="000000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深圳市东阳光实业发展有限公司</w:t>
            </w:r>
            <w:r>
              <w:rPr>
                <w:bCs/>
                <w:color w:val="000000"/>
                <w:lang w:val="en-US"/>
              </w:rPr>
              <w:t>（“</w:t>
            </w:r>
            <w:r>
              <w:rPr>
                <w:rFonts w:hint="eastAsia"/>
                <w:bCs/>
                <w:color w:val="000000"/>
                <w:lang w:val="en-US"/>
              </w:rPr>
              <w:t>东阳光集团</w:t>
            </w:r>
            <w:r>
              <w:rPr>
                <w:bCs/>
                <w:color w:val="000000"/>
                <w:lang w:val="en-US"/>
              </w:rPr>
              <w:t>”）与</w:t>
            </w:r>
            <w:r>
              <w:rPr>
                <w:rFonts w:ascii="宋体" w:hAnsi="宋体"/>
              </w:rPr>
              <w:t>Stack Midco Limited</w:t>
            </w:r>
            <w:r>
              <w:rPr>
                <w:rFonts w:hint="eastAsia" w:ascii="宋体" w:hAnsi="宋体"/>
              </w:rPr>
              <w:t>、吴华鹏</w:t>
            </w:r>
            <w:r>
              <w:rPr>
                <w:rFonts w:hint="eastAsia" w:ascii="宋体" w:hAnsi="宋体"/>
                <w:lang w:eastAsia="zh-CN"/>
              </w:rPr>
              <w:t>、</w:t>
            </w:r>
            <w:r>
              <w:rPr>
                <w:rFonts w:hint="eastAsia" w:ascii="宋体" w:hAnsi="宋体"/>
              </w:rPr>
              <w:t>肖蒨</w:t>
            </w:r>
            <w:r>
              <w:t>签署协议，</w:t>
            </w:r>
            <w:r>
              <w:rPr>
                <w:rFonts w:hint="eastAsia"/>
                <w:lang w:eastAsia="zh-CN"/>
              </w:rPr>
              <w:t>东阳光集团</w:t>
            </w:r>
            <w:r>
              <w:rPr>
                <w:rFonts w:hint="eastAsia" w:ascii="宋体" w:hAnsi="宋体"/>
                <w:lang w:eastAsia="zh-CN"/>
              </w:rPr>
              <w:t>拟</w:t>
            </w:r>
            <w:r>
              <w:rPr>
                <w:rFonts w:hint="eastAsia" w:ascii="宋体" w:hAnsi="宋体"/>
              </w:rPr>
              <w:t>收购</w:t>
            </w:r>
            <w:r>
              <w:rPr>
                <w:rFonts w:ascii="宋体" w:hAnsi="宋体"/>
              </w:rPr>
              <w:t>Stack Midco Limited</w:t>
            </w:r>
            <w:r>
              <w:rPr>
                <w:rFonts w:hint="eastAsia" w:ascii="宋体" w:hAnsi="宋体"/>
              </w:rPr>
              <w:t>、吴华鹏</w:t>
            </w:r>
            <w:r>
              <w:rPr>
                <w:rFonts w:hint="eastAsia" w:ascii="宋体" w:hAnsi="宋体"/>
                <w:lang w:eastAsia="zh-CN"/>
              </w:rPr>
              <w:t>、</w:t>
            </w:r>
            <w:r>
              <w:rPr>
                <w:rFonts w:hint="eastAsia" w:ascii="宋体" w:hAnsi="宋体"/>
              </w:rPr>
              <w:t>肖蒨合计持有</w:t>
            </w:r>
            <w:r>
              <w:rPr>
                <w:rFonts w:hint="eastAsia"/>
                <w:bCs/>
                <w:color w:val="000000"/>
              </w:rPr>
              <w:t>八家目标公司100</w:t>
            </w:r>
            <w:r>
              <w:t>%的股权</w:t>
            </w:r>
            <w:r>
              <w:rPr>
                <w:bCs/>
                <w:color w:val="000000"/>
              </w:rPr>
              <w:t>，</w:t>
            </w:r>
            <w:r>
              <w:rPr>
                <w:rFonts w:hint="eastAsia"/>
                <w:bCs/>
                <w:color w:val="000000"/>
              </w:rPr>
              <w:t>目标公司</w:t>
            </w:r>
            <w:r>
              <w:rPr>
                <w:bCs/>
                <w:color w:val="000000"/>
              </w:rPr>
              <w:t>主要从事</w:t>
            </w:r>
            <w:r>
              <w:rPr>
                <w:rFonts w:hint="eastAsia"/>
                <w:bCs/>
                <w:color w:val="000000"/>
              </w:rPr>
              <w:t>互联网数据中心服务业务</w:t>
            </w:r>
            <w:r>
              <w:rPr>
                <w:bCs/>
                <w:color w:val="000000"/>
              </w:rPr>
              <w:t>。交易前，</w:t>
            </w:r>
            <w:r>
              <w:rPr>
                <w:rFonts w:ascii="宋体" w:hAnsi="宋体"/>
              </w:rPr>
              <w:t>Stack Midco Limited</w:t>
            </w:r>
            <w:r>
              <w:rPr>
                <w:rFonts w:hint="eastAsia" w:ascii="宋体" w:hAnsi="宋体"/>
                <w:lang w:eastAsia="zh-CN"/>
              </w:rPr>
              <w:t>基于协议及</w:t>
            </w:r>
            <w:r>
              <w:rPr>
                <w:rFonts w:hint="eastAsia" w:ascii="宋体" w:hAnsi="宋体"/>
                <w:lang w:val="en-US" w:eastAsia="zh-CN"/>
              </w:rPr>
              <w:t>100%控股，</w:t>
            </w:r>
            <w:r>
              <w:rPr>
                <w:bCs/>
                <w:color w:val="000000"/>
              </w:rPr>
              <w:t>单独控制</w:t>
            </w:r>
            <w:r>
              <w:rPr>
                <w:rFonts w:hint="eastAsia"/>
                <w:bCs/>
                <w:color w:val="000000"/>
              </w:rPr>
              <w:t>目标公司</w:t>
            </w:r>
            <w:r>
              <w:rPr>
                <w:bCs/>
                <w:color w:val="000000"/>
              </w:rPr>
              <w:t>。交易后，</w:t>
            </w:r>
            <w:r>
              <w:rPr>
                <w:rFonts w:hint="eastAsia" w:ascii="宋体" w:hAnsi="宋体"/>
                <w:lang w:eastAsia="zh-CN"/>
              </w:rPr>
              <w:t>东阳光集团</w:t>
            </w:r>
            <w:r>
              <w:rPr>
                <w:bCs/>
                <w:color w:val="000000"/>
              </w:rPr>
              <w:t>将持有</w:t>
            </w:r>
            <w:r>
              <w:rPr>
                <w:rFonts w:hint="eastAsia"/>
                <w:bCs/>
                <w:color w:val="000000"/>
              </w:rPr>
              <w:t>目标公司100%的</w:t>
            </w:r>
            <w:r>
              <w:rPr>
                <w:bCs/>
                <w:color w:val="000000"/>
              </w:rPr>
              <w:t>股权，单独控制</w:t>
            </w:r>
            <w:r>
              <w:rPr>
                <w:rFonts w:hint="eastAsia"/>
                <w:bCs/>
                <w:color w:val="000000"/>
              </w:rPr>
              <w:t>目标公司</w:t>
            </w:r>
            <w:r>
              <w:rPr>
                <w:bCs/>
                <w:color w:val="000000"/>
              </w:rPr>
              <w:t>。</w:t>
            </w:r>
          </w:p>
        </w:tc>
      </w:tr>
      <w:tr w14:paraId="2B06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BEF20C5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3FC8F4C4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东阳光集团</w:t>
            </w:r>
          </w:p>
        </w:tc>
        <w:tc>
          <w:tcPr>
            <w:tcW w:w="6093" w:type="dxa"/>
            <w:vAlign w:val="center"/>
          </w:tcPr>
          <w:p w14:paraId="1B62DCD2">
            <w:pPr>
              <w:pStyle w:val="11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hint="eastAsia"/>
                <w:bCs/>
                <w:color w:val="000000"/>
                <w:lang w:val="en-US" w:eastAsia="zh-CN"/>
              </w:rPr>
              <w:t>东阳光集团</w:t>
            </w:r>
            <w:r>
              <w:rPr>
                <w:rFonts w:cs="Times New Roman"/>
                <w:lang w:eastAsia="zh-CN"/>
              </w:rPr>
              <w:t>于19</w:t>
            </w:r>
            <w:r>
              <w:rPr>
                <w:rFonts w:hint="eastAsia" w:cs="Times New Roman"/>
                <w:lang w:eastAsia="zh-CN"/>
              </w:rPr>
              <w:t>97</w:t>
            </w:r>
            <w:r>
              <w:rPr>
                <w:rFonts w:cs="Times New Roman"/>
                <w:lang w:eastAsia="zh-CN"/>
              </w:rPr>
              <w:t>年1月</w:t>
            </w:r>
            <w:r>
              <w:rPr>
                <w:rFonts w:hint="eastAsia" w:cs="Times New Roman"/>
                <w:lang w:eastAsia="zh-CN"/>
              </w:rPr>
              <w:t>27</w:t>
            </w:r>
            <w:r>
              <w:rPr>
                <w:rFonts w:cs="Times New Roman"/>
                <w:lang w:eastAsia="zh-CN"/>
              </w:rPr>
              <w:t>日成立于中国</w:t>
            </w:r>
            <w:r>
              <w:rPr>
                <w:rFonts w:hint="eastAsia" w:cs="Times New Roman"/>
                <w:lang w:eastAsia="zh-CN"/>
              </w:rPr>
              <w:t>广东省</w:t>
            </w:r>
            <w:r>
              <w:rPr>
                <w:rFonts w:cs="Times New Roman"/>
                <w:lang w:eastAsia="zh-CN"/>
              </w:rPr>
              <w:t>，主要业务涉及</w:t>
            </w:r>
            <w:r>
              <w:rPr>
                <w:rFonts w:hint="eastAsia" w:cs="Times New Roman"/>
                <w:lang w:eastAsia="zh-CN"/>
              </w:rPr>
              <w:t>电子新材料、生物医药和健康养生三大板块</w:t>
            </w:r>
            <w:r>
              <w:rPr>
                <w:rFonts w:cs="Times New Roman"/>
                <w:lang w:eastAsia="zh-CN"/>
              </w:rPr>
              <w:t>。</w:t>
            </w:r>
          </w:p>
          <w:p w14:paraId="3ABE210E">
            <w:pPr>
              <w:pStyle w:val="11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东阳光集团最终控制人为自然人，主要业务为电子新材料、生物医药和健</w:t>
            </w:r>
            <w:bookmarkStart w:id="0" w:name="_GoBack"/>
            <w:bookmarkEnd w:id="0"/>
            <w:r>
              <w:rPr>
                <w:rFonts w:hint="eastAsia" w:cs="Times New Roman"/>
                <w:lang w:eastAsia="zh-CN"/>
              </w:rPr>
              <w:t>康养生等领域的投资。</w:t>
            </w:r>
          </w:p>
        </w:tc>
      </w:tr>
      <w:tr w14:paraId="082B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5F83435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DF7AB92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  <w:bCs/>
                <w:color w:val="000000"/>
                <w:lang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3B5BF48C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bCs/>
                <w:color w:val="000000"/>
              </w:rPr>
              <w:t>目标公司</w:t>
            </w:r>
            <w:r>
              <w:rPr>
                <w:rFonts w:hint="eastAsia"/>
                <w:lang w:val="en-US"/>
              </w:rPr>
              <w:t>主营业务为互联网数据中心服务。</w:t>
            </w:r>
          </w:p>
          <w:p w14:paraId="51C18583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lang w:val="en-US"/>
              </w:rPr>
              <w:t>目标公司</w:t>
            </w:r>
            <w:r>
              <w:rPr>
                <w:lang w:val="en-US"/>
              </w:rPr>
              <w:t>最终控制人为</w:t>
            </w:r>
            <w:r>
              <w:rPr>
                <w:rFonts w:hint="eastAsia"/>
                <w:lang w:val="en-US"/>
              </w:rPr>
              <w:t>贝恩资本投资者有限责任公司</w:t>
            </w:r>
            <w:r>
              <w:rPr>
                <w:lang w:val="en-US"/>
              </w:rPr>
              <w:t>，主要业务为</w:t>
            </w:r>
            <w:r>
              <w:rPr>
                <w:rFonts w:hint="eastAsia"/>
              </w:rPr>
              <w:t>通过旗下基金在全球范围内的诸多行业领域（包括技术、媒体和电信、医疗保健、零售和消费产品、金融和商业服务以及工业/制造业）开展投资。</w:t>
            </w:r>
          </w:p>
        </w:tc>
      </w:tr>
      <w:tr w14:paraId="5C27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26E33B9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8C301C5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14:paraId="6B06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B14D7B8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A49C23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5929E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FD7346C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E032185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335A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7E12334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104CAB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2E2E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3A17DAD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55F2580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17C7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2ADACEE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D00E77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82A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60CCCFAA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C479B6E">
            <w:pPr>
              <w:pStyle w:val="11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hint="eastAsia" w:cs="Times New Roman"/>
                <w:b/>
                <w:color w:val="000000"/>
                <w:lang w:eastAsia="zh-CN"/>
              </w:rPr>
              <w:t>混合集中</w:t>
            </w:r>
            <w:r>
              <w:rPr>
                <w:rFonts w:cs="Times New Roman"/>
                <w:b/>
                <w:color w:val="000000"/>
                <w:lang w:eastAsia="zh-CN"/>
              </w:rPr>
              <w:t>：</w:t>
            </w:r>
          </w:p>
          <w:p w14:paraId="5222894D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2024年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中国境内互联网数据中心服务</w:t>
            </w:r>
            <w:r>
              <w:rPr>
                <w:rFonts w:cs="Times New Roman"/>
                <w:bCs/>
                <w:color w:val="000000"/>
                <w:lang w:eastAsia="zh-CN"/>
              </w:rPr>
              <w:t>市场：</w:t>
            </w:r>
          </w:p>
          <w:p w14:paraId="45B47CF5">
            <w:pPr>
              <w:pStyle w:val="11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目标公司：[0-5%]</w:t>
            </w:r>
          </w:p>
        </w:tc>
      </w:tr>
    </w:tbl>
    <w:p w14:paraId="567694A3">
      <w:pPr>
        <w:snapToGrid w:val="0"/>
        <w:spacing w:line="340" w:lineRule="exact"/>
        <w:jc w:val="left"/>
        <w:rPr>
          <w:bCs/>
          <w:color w:val="000000"/>
          <w:sz w:val="28"/>
          <w:szCs w:val="28"/>
        </w:rPr>
      </w:pPr>
    </w:p>
    <w:p w14:paraId="1E312821"/>
    <w:sectPr>
      <w:footerReference r:id="rId4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 w14:paraId="7307D273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 w14:paraId="5499ADDE">
          <w:pPr>
            <w:pStyle w:val="13"/>
            <w:rPr>
              <w:rFonts w:hint="eastAsia"/>
            </w:rPr>
          </w:pPr>
        </w:p>
      </w:tc>
      <w:tc>
        <w:tcPr>
          <w:tcW w:w="3081" w:type="dxa"/>
        </w:tcPr>
        <w:p w14:paraId="26B00B46">
          <w:pPr>
            <w:pStyle w:val="13"/>
            <w:jc w:val="center"/>
            <w:rPr>
              <w:rStyle w:val="19"/>
              <w:rFonts w:cs="Times New Roman"/>
            </w:rPr>
          </w:pPr>
          <w:r>
            <w:rPr>
              <w:rStyle w:val="19"/>
              <w:rFonts w:cs="Times New Roman"/>
            </w:rPr>
            <w:t xml:space="preserve">- </w:t>
          </w:r>
          <w:r>
            <w:rPr>
              <w:rStyle w:val="19"/>
              <w:rFonts w:cs="Times New Roman"/>
            </w:rPr>
            <w:fldChar w:fldCharType="begin"/>
          </w:r>
          <w:r>
            <w:rPr>
              <w:rStyle w:val="19"/>
              <w:rFonts w:cs="Times New Roman"/>
            </w:rPr>
            <w:instrText xml:space="preserve"> PAGE   \* MERGEFORMAT </w:instrText>
          </w:r>
          <w:r>
            <w:rPr>
              <w:rStyle w:val="19"/>
              <w:rFonts w:cs="Times New Roman"/>
            </w:rPr>
            <w:fldChar w:fldCharType="separate"/>
          </w:r>
          <w:r>
            <w:rPr>
              <w:rStyle w:val="19"/>
              <w:rFonts w:cs="Times New Roman"/>
              <w:lang w:val="en-US"/>
            </w:rPr>
            <w:t>1</w:t>
          </w:r>
          <w:r>
            <w:rPr>
              <w:rStyle w:val="19"/>
              <w:rFonts w:cs="Times New Roman"/>
            </w:rPr>
            <w:fldChar w:fldCharType="end"/>
          </w:r>
          <w:r>
            <w:rPr>
              <w:rStyle w:val="19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AAD3CF1">
          <w:pPr>
            <w:pStyle w:val="41"/>
          </w:pPr>
        </w:p>
      </w:tc>
    </w:tr>
  </w:tbl>
  <w:p w14:paraId="0E216B02">
    <w:pPr>
      <w:pStyle w:val="13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03"/>
    <w:rsid w:val="00044103"/>
    <w:rsid w:val="000964A9"/>
    <w:rsid w:val="00242A8E"/>
    <w:rsid w:val="002A50F2"/>
    <w:rsid w:val="00371EAE"/>
    <w:rsid w:val="003A51A8"/>
    <w:rsid w:val="003E6EA9"/>
    <w:rsid w:val="00406220"/>
    <w:rsid w:val="004E7689"/>
    <w:rsid w:val="00562CEF"/>
    <w:rsid w:val="00571A25"/>
    <w:rsid w:val="00572278"/>
    <w:rsid w:val="00682EE2"/>
    <w:rsid w:val="00693B1D"/>
    <w:rsid w:val="006C327C"/>
    <w:rsid w:val="006D1C87"/>
    <w:rsid w:val="007032DB"/>
    <w:rsid w:val="007D28AA"/>
    <w:rsid w:val="0087404E"/>
    <w:rsid w:val="00891C03"/>
    <w:rsid w:val="008A5C1A"/>
    <w:rsid w:val="008B0846"/>
    <w:rsid w:val="00930B87"/>
    <w:rsid w:val="00A001E4"/>
    <w:rsid w:val="00A73A93"/>
    <w:rsid w:val="00B3137F"/>
    <w:rsid w:val="00B90600"/>
    <w:rsid w:val="00BA03CE"/>
    <w:rsid w:val="00BA2186"/>
    <w:rsid w:val="00BB56D3"/>
    <w:rsid w:val="00BF35BC"/>
    <w:rsid w:val="00C214E3"/>
    <w:rsid w:val="00DC178B"/>
    <w:rsid w:val="00E9353B"/>
    <w:rsid w:val="00F87A0F"/>
    <w:rsid w:val="174031ED"/>
    <w:rsid w:val="2D420941"/>
    <w:rsid w:val="7867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widowControl w:val="0"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8"/>
      <w:szCs w:val="48"/>
      <w:lang w:val="en-US" w:bidi="ar-SA"/>
      <w14:ligatures w14:val="standardContextual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widowControl w:val="0"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widowControl w:val="0"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2F5597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widowControl w:val="0"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2F5597" w:themeColor="accent1" w:themeShade="BF"/>
      <w:kern w:val="2"/>
      <w:lang w:val="en-US" w:bidi="ar-SA"/>
      <w14:ligatures w14:val="standardContextual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widowControl w:val="0"/>
      <w:spacing w:before="40" w:after="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kern w:val="2"/>
      <w:sz w:val="22"/>
      <w:lang w:val="en-US" w:bidi="ar-SA"/>
      <w14:ligatures w14:val="standardContextual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widowControl w:val="0"/>
      <w:spacing w:before="40" w:after="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2"/>
      <w:lang w:val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widowControl w:val="0"/>
      <w:spacing w:after="0"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2"/>
      <w:lang w:val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widowControl w:val="0"/>
      <w:spacing w:after="0"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lang w:val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0"/>
    <w:qFormat/>
    <w:uiPriority w:val="0"/>
    <w:rPr>
      <w:rFonts w:cs="Simplified Arabic"/>
      <w:lang w:eastAsia="en-GB"/>
    </w:rPr>
  </w:style>
  <w:style w:type="paragraph" w:styleId="12">
    <w:name w:val="Balloon Text"/>
    <w:basedOn w:val="1"/>
    <w:link w:val="42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13">
    <w:name w:val="footer"/>
    <w:basedOn w:val="1"/>
    <w:link w:val="39"/>
    <w:unhideWhenUsed/>
    <w:qFormat/>
    <w:uiPriority w:val="0"/>
    <w:pPr>
      <w:widowControl w:val="0"/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eastAsiaTheme="minorEastAsia" w:cstheme="minorBidi"/>
      <w:kern w:val="2"/>
      <w:sz w:val="18"/>
      <w:szCs w:val="18"/>
      <w:lang w:val="en-US" w:bidi="ar-SA"/>
      <w14:ligatures w14:val="standardContextual"/>
    </w:rPr>
  </w:style>
  <w:style w:type="paragraph" w:styleId="14">
    <w:name w:val="header"/>
    <w:basedOn w:val="1"/>
    <w:link w:val="38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eastAsiaTheme="minorEastAsia" w:cstheme="minorBidi"/>
      <w:kern w:val="2"/>
      <w:sz w:val="18"/>
      <w:szCs w:val="18"/>
      <w:lang w:val="en-US" w:bidi="ar-SA"/>
      <w14:ligatures w14:val="standardContextual"/>
    </w:rPr>
  </w:style>
  <w:style w:type="paragraph" w:styleId="15">
    <w:name w:val="Subtitle"/>
    <w:basedOn w:val="1"/>
    <w:next w:val="1"/>
    <w:link w:val="30"/>
    <w:qFormat/>
    <w:uiPriority w:val="11"/>
    <w:pPr>
      <w:widowControl w:val="0"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val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9"/>
    <w:qFormat/>
    <w:uiPriority w:val="10"/>
    <w:pPr>
      <w:widowControl w:val="0"/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styleId="19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widowControl w:val="0"/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sz w:val="22"/>
      <w:lang w:val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widowControl w:val="0"/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kern w:val="2"/>
      <w:sz w:val="22"/>
      <w:lang w:val="en-US" w:bidi="ar-SA"/>
      <w14:ligatures w14:val="standardContextual"/>
    </w:rPr>
  </w:style>
  <w:style w:type="character" w:customStyle="1" w:styleId="34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widowControl w:val="0"/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kern w:val="2"/>
      <w:sz w:val="22"/>
      <w:lang w:val="en-US" w:bidi="ar-SA"/>
      <w14:ligatures w14:val="standardContextual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3"/>
    <w:qFormat/>
    <w:uiPriority w:val="0"/>
    <w:rPr>
      <w:sz w:val="18"/>
      <w:szCs w:val="18"/>
    </w:rPr>
  </w:style>
  <w:style w:type="character" w:customStyle="1" w:styleId="40">
    <w:name w:val="正文文本 字符"/>
    <w:basedOn w:val="18"/>
    <w:link w:val="11"/>
    <w:qFormat/>
    <w:uiPriority w:val="0"/>
    <w:rPr>
      <w:rFonts w:ascii="Times New Roman" w:hAnsi="Times New Roman" w:eastAsia="宋体" w:cs="Simplified Arabic"/>
      <w:kern w:val="0"/>
      <w:sz w:val="24"/>
      <w:lang w:val="en-GB" w:eastAsia="en-GB" w:bidi="ar-AE"/>
      <w14:ligatures w14:val="none"/>
    </w:rPr>
  </w:style>
  <w:style w:type="paragraph" w:customStyle="1" w:styleId="41">
    <w:name w:val="Footer Right"/>
    <w:basedOn w:val="13"/>
    <w:qFormat/>
    <w:uiPriority w:val="0"/>
    <w:pPr>
      <w:widowControl/>
      <w:tabs>
        <w:tab w:val="clear" w:pos="4153"/>
        <w:tab w:val="clear" w:pos="8306"/>
      </w:tabs>
      <w:snapToGrid/>
      <w:spacing w:after="0"/>
      <w:jc w:val="right"/>
    </w:pPr>
    <w:rPr>
      <w:rFonts w:ascii="Times New Roman" w:hAnsi="Times New Roman" w:eastAsia="宋体" w:cs="Times New Roman"/>
      <w:kern w:val="0"/>
      <w:sz w:val="16"/>
      <w:szCs w:val="16"/>
      <w:lang w:val="en-GB" w:bidi="he-IL"/>
      <w14:ligatures w14:val="none"/>
    </w:rPr>
  </w:style>
  <w:style w:type="character" w:customStyle="1" w:styleId="42">
    <w:name w:val="批注框文本 字符"/>
    <w:basedOn w:val="18"/>
    <w:link w:val="12"/>
    <w:semiHidden/>
    <w:qFormat/>
    <w:uiPriority w:val="99"/>
    <w:rPr>
      <w:rFonts w:ascii="Times New Roman" w:hAnsi="Times New Roman" w:eastAsia="宋体" w:cs="Times New Roman"/>
      <w:sz w:val="18"/>
      <w:szCs w:val="18"/>
      <w:lang w:val="en-GB" w:bidi="ar-AE"/>
    </w:rPr>
  </w:style>
  <w:style w:type="paragraph" w:customStyle="1" w:styleId="43">
    <w:name w:val="Revision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750</Words>
  <Characters>818</Characters>
  <Lines>26</Lines>
  <Paragraphs>22</Paragraphs>
  <TotalTime>15</TotalTime>
  <ScaleCrop>false</ScaleCrop>
  <LinksUpToDate>false</LinksUpToDate>
  <CharactersWithSpaces>830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2025-09-08T10:28:00Z</dcterms:created>
  <dc:creator>JY-QLL</dc:creator>
  <cp:lastModifiedBy>汗青</cp:lastModifiedBy>
  <dcterms:modified xsi:type="dcterms:W3CDTF">2025-09-16T06:36:59Z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eyJoZGlkIjoiNDQzMGY5ZWI0OWM3ZDY2ZDVhMWJmNzNkNjA0OTkyOWYiLCJ1c2VySWQiOiIzNzgxNDI0MDcifQ==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2631483436674EF896CCD24E8B6D1DDA_13</vt:lpwstr>
  </property>
</Properties>
</file>