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3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南京商络电子股份有限</w:t>
            </w:r>
            <w:r>
              <w:rPr>
                <w:rFonts w:hint="eastAsia"/>
                <w:sz w:val="24"/>
                <w:lang w:eastAsia="zh-CN"/>
              </w:rPr>
              <w:t>公司</w:t>
            </w:r>
            <w:r>
              <w:rPr>
                <w:rFonts w:hint="eastAsia"/>
                <w:sz w:val="24"/>
              </w:rPr>
              <w:t>收购广州立功科技股份有限公司股权案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sz w:val="24"/>
                <w:szCs w:val="24"/>
              </w:rPr>
            </w:pPr>
            <w:r>
              <w:rPr>
                <w:rFonts w:hint="default"/>
                <w:bCs/>
                <w:color w:val="000000"/>
                <w:kern w:val="0"/>
                <w:sz w:val="24"/>
                <w:lang w:bidi="ar-AE"/>
              </w:rPr>
              <w:t>南京商络电子股份有限公司（“商络电子”）、畅赢控股（南京）有限公司与陈智红、周立功等广州立功科技股份有限公司（“广州立功”）股东签署股权转让协议。广州立功主要从事电子元器件分销业务。交易前，陈智红、周立功分别持有广州立功40.56%、40.51%的股权、共同控制广州立功；交易后，商络电子将持有广州立功88.79%的股权，单独控制广州立功</w:t>
            </w:r>
            <w:r>
              <w:rPr>
                <w:rFonts w:hint="default"/>
                <w:kern w:val="0"/>
                <w:sz w:val="24"/>
                <w:lang w:val="en-GB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default" w:cs="宋体"/>
                <w:bCs/>
                <w:color w:val="000000"/>
                <w:sz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1 .</w:t>
            </w:r>
            <w:r>
              <w:rPr>
                <w:rFonts w:hint="eastAsia"/>
                <w:sz w:val="24"/>
              </w:rPr>
              <w:t>商络电子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商络电子于1999年8月31日成立于江苏省南京市，为深圳证券交易所创业板上市公司，主要业务为电子元器件的分销等。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商络电子最终控制人为自然人，主要业务为电子元器件分销。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91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2 .</w:t>
            </w:r>
            <w:r>
              <w:rPr>
                <w:rFonts w:hint="eastAsia"/>
                <w:sz w:val="24"/>
              </w:rPr>
              <w:t>广州立功</w:t>
            </w:r>
          </w:p>
        </w:tc>
        <w:tc>
          <w:tcPr>
            <w:tcW w:w="6093" w:type="dxa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广州立功于1999年2月5日成立于广东省广州市，为股份有限公司，主要业务为电子元器件的分销等。</w:t>
            </w:r>
          </w:p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广州立功最终控制人为自然人，主要业务为电子元器件分销。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  <w:bookmarkStart w:id="0" w:name="_GoBack"/>
            <w:bookmarkEnd w:id="0"/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240" w:lineRule="auto"/>
              <w:ind w:left="0" w:right="0"/>
              <w:jc w:val="both"/>
              <w:rPr>
                <w:rFonts w:hint="eastAsia" w:eastAsia="宋体" w:cs="Times New Roman"/>
                <w:b/>
                <w:bCs w:val="0"/>
                <w:color w:val="000000"/>
                <w:kern w:val="0"/>
                <w:sz w:val="24"/>
                <w:lang w:bidi="ar-AE"/>
              </w:rPr>
            </w:pPr>
            <w:r>
              <w:rPr>
                <w:rFonts w:hint="eastAsia" w:cs="Times New Roman"/>
                <w:b/>
                <w:bCs w:val="0"/>
                <w:color w:val="000000"/>
                <w:kern w:val="0"/>
                <w:sz w:val="24"/>
                <w:lang w:eastAsia="zh-CN" w:bidi="ar-AE"/>
              </w:rPr>
              <w:t>横向重叠：</w:t>
            </w:r>
          </w:p>
          <w:tbl>
            <w:tblPr>
              <w:tblStyle w:val="4"/>
              <w:tblW w:w="748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94"/>
              <w:gridCol w:w="2495"/>
              <w:gridCol w:w="249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94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 w:ascii="宋体" w:hAnsi="宋体" w:eastAsia="宋体" w:cs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vertAlign w:val="baseline"/>
                      <w:lang w:val="en-GB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相关商品市场</w:t>
                  </w:r>
                </w:p>
              </w:tc>
              <w:tc>
                <w:tcPr>
                  <w:tcW w:w="2495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 w:ascii="宋体" w:hAnsi="宋体" w:eastAsia="宋体" w:cs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vertAlign w:val="baseline"/>
                      <w:lang w:val="en-GB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相关地域市场</w:t>
                  </w:r>
                </w:p>
              </w:tc>
              <w:tc>
                <w:tcPr>
                  <w:tcW w:w="2495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/>
                      <w:bCs w:val="0"/>
                      <w:color w:val="000000"/>
                      <w:kern w:val="0"/>
                      <w:sz w:val="24"/>
                      <w:szCs w:val="24"/>
                      <w:vertAlign w:val="baseline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202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4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94" w:type="dxa"/>
                  <w:vMerge w:val="restart"/>
                  <w:noWrap w:val="0"/>
                  <w:vAlign w:val="top"/>
                </w:tcPr>
                <w:p>
                  <w:pPr>
                    <w:pStyle w:val="2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both"/>
                    <w:textAlignment w:val="auto"/>
                    <w:rPr>
                      <w:rFonts w:hint="eastAsia" w:ascii="宋体" w:hAnsi="宋体" w:eastAsia="宋体" w:cs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vertAlign w:val="baseline"/>
                      <w:lang w:val="en-GB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电子元器件分销市场</w:t>
                  </w:r>
                </w:p>
              </w:tc>
              <w:tc>
                <w:tcPr>
                  <w:tcW w:w="2495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 w:ascii="宋体" w:hAnsi="宋体" w:eastAsia="宋体" w:cs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vertAlign w:val="baseline"/>
                      <w:lang w:val="en-GB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全球</w:t>
                  </w:r>
                </w:p>
              </w:tc>
              <w:tc>
                <w:tcPr>
                  <w:tcW w:w="2495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商络电子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：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0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-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%</w:t>
                  </w:r>
                </w:p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广州立功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：0-5%</w:t>
                  </w:r>
                </w:p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/>
                      <w:bCs w:val="0"/>
                      <w:color w:val="000000"/>
                      <w:kern w:val="0"/>
                      <w:sz w:val="24"/>
                      <w:szCs w:val="24"/>
                      <w:vertAlign w:val="baseline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双方合计：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0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-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94" w:type="dxa"/>
                  <w:vMerge w:val="continue"/>
                  <w:noWrap w:val="0"/>
                  <w:vAlign w:val="top"/>
                </w:tcPr>
                <w:p>
                  <w:pPr>
                    <w:pStyle w:val="2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both"/>
                    <w:textAlignment w:val="auto"/>
                    <w:rPr>
                      <w:rFonts w:hint="eastAsia" w:ascii="宋体" w:hAnsi="宋体" w:eastAsia="宋体" w:cs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vertAlign w:val="baseline"/>
                      <w:lang w:val="en-GB" w:eastAsia="zh-CN" w:bidi="ar-AE"/>
                    </w:rPr>
                  </w:pPr>
                </w:p>
              </w:tc>
              <w:tc>
                <w:tcPr>
                  <w:tcW w:w="2495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 w:ascii="宋体" w:hAnsi="宋体" w:eastAsia="宋体" w:cs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vertAlign w:val="baseline"/>
                      <w:lang w:val="en-GB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中国境内</w:t>
                  </w:r>
                </w:p>
              </w:tc>
              <w:tc>
                <w:tcPr>
                  <w:tcW w:w="2495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商络电子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：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0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-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%</w:t>
                  </w:r>
                </w:p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广州立功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：0-5%</w:t>
                  </w:r>
                </w:p>
                <w:p>
                  <w:pPr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/>
                      <w:bCs w:val="0"/>
                      <w:color w:val="000000"/>
                      <w:kern w:val="0"/>
                      <w:sz w:val="24"/>
                      <w:szCs w:val="24"/>
                      <w:vertAlign w:val="baseline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双方合计：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0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-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>%</w:t>
                  </w:r>
                </w:p>
              </w:tc>
            </w:tr>
          </w:tbl>
          <w:p>
            <w:pPr>
              <w:pStyle w:val="2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/>
              <w:ind w:left="0" w:right="0"/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eastAsia="zh-CN" w:bidi="ar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A4CD7"/>
    <w:rsid w:val="3DEA4CD7"/>
    <w:rsid w:val="4DBFBC83"/>
    <w:rsid w:val="7DFFE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table" w:styleId="4">
    <w:name w:val="Table Grid"/>
    <w:basedOn w:val="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2025-10-11T17:41:00Z</dcterms:created>
  <dc:creator>胡翌婧</dc:creator>
  <cp:lastModifiedBy>scj</cp:lastModifiedBy>
  <dcterms:modified xsi:type="dcterms:W3CDTF">2025-10-11T10:29:13Z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2052-11.8.2.12065</vt:lpwstr>
  </property>
  <property fmtid="{D5CDD505-2E9C-101B-9397-08002B2CF9AE}" pid="3" name="ICV">
    <vt:lpwstr>BC0954C08A874C2AB85DC14B840FF4F3_11</vt:lpwstr>
  </property>
  <property fmtid="{D5CDD505-2E9C-101B-9397-08002B2CF9AE}" pid="4" name="KSOTemplateDocerSaveRecord">
    <vt:lpwstr>eyJoZGlkIjoiODNjM2VkZWUwYjdkZDYzZGY2NmZiZGNiZGIyMjFjYWIiLCJ1c2VySWQiOiIyNDQ2MzYxMzgifQ==</vt:lpwstr>
  </property>
</Properties>
</file>