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1F81D">
      <w:pPr>
        <w:widowControl/>
        <w:spacing w:after="240"/>
        <w:jc w:val="center"/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  <w:lang w:val="en-GB" w:bidi="ar-AE"/>
        </w:rPr>
      </w:pPr>
      <w:r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3601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5C4AC717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631070A5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深圳市高梧卓越智能科技合伙企业（有限合伙）收购江苏五洋自控技术股份有限公司股权案</w:t>
            </w:r>
          </w:p>
        </w:tc>
      </w:tr>
      <w:tr w14:paraId="45198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2B4B7198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7DEEEFD8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深圳市高梧卓越智能科技合伙企业（有限合伙）（“高梧卓越”）与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自然人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签署协议，拟收购江苏五洋自控技术股份有限公司（“五洋自控”）15%的股权。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五洋自控主要从事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立体车库、张紧装置、自动化生产线设备等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生产和销售。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交易前，自然人持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有五洋自控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19.74%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股权，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单独控制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五洋自控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；交易后，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高梧卓越持有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五洋自控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15%股权，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单独控制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五洋自控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。</w:t>
            </w:r>
          </w:p>
        </w:tc>
      </w:tr>
      <w:tr w14:paraId="3A7E1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704456C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 w14:paraId="4196BB46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高梧卓越</w:t>
            </w:r>
          </w:p>
        </w:tc>
        <w:tc>
          <w:tcPr>
            <w:tcW w:w="6093" w:type="dxa"/>
            <w:vAlign w:val="center"/>
          </w:tcPr>
          <w:p w14:paraId="7C61E986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高梧卓越于2024年8月9日成立于广东省深圳市，主要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业务为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汽车零部件、汽车冲压模具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领域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的投资。</w:t>
            </w:r>
          </w:p>
          <w:p w14:paraId="5C708ACA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/>
              </w:rPr>
              <w:t>高梧卓越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最终控制人为自然人，主要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业务为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汽车零部件、汽车冲压模具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生产和销售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。</w:t>
            </w:r>
          </w:p>
        </w:tc>
      </w:tr>
      <w:tr w14:paraId="2BEE4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E66101D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GB" w:eastAsia="zh-CN"/>
              </w:rPr>
            </w:pPr>
          </w:p>
        </w:tc>
        <w:tc>
          <w:tcPr>
            <w:tcW w:w="1607" w:type="dxa"/>
            <w:vAlign w:val="center"/>
          </w:tcPr>
          <w:p w14:paraId="5DA46CC6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五洋自控</w:t>
            </w:r>
          </w:p>
        </w:tc>
        <w:tc>
          <w:tcPr>
            <w:tcW w:w="6093" w:type="dxa"/>
            <w:vAlign w:val="center"/>
          </w:tcPr>
          <w:p w14:paraId="37D14137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五洋自控于2001年6月22日成立于江苏省徐州市，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深圳证券交易所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上市公司，主要业务为立体车库、张紧装置、自动化生产线设备等。</w:t>
            </w:r>
          </w:p>
          <w:p w14:paraId="60B99D3E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五洋自控最终控制人为自然人，主要通过五洋自控从事前述业务。</w:t>
            </w:r>
          </w:p>
        </w:tc>
      </w:tr>
      <w:tr w14:paraId="5D842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D84224E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0110077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14:paraId="2164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D6FBE87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GB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6E84F70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14:paraId="75B48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D24EC9A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GB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99F4385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sym w:font="Wingdings" w:char="00FE"/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3A7F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62CB456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GB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6275F98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7A2EE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034693F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GB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1D3A1C1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73E81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9EF2348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GB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65132C4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4E695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 w14:paraId="0B3E3CBF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0B17CFF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混合集中：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2024年中国境内立体车库市场</w:t>
            </w:r>
          </w:p>
          <w:p w14:paraId="5703B4B2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五洋自控：5-10%</w:t>
            </w:r>
          </w:p>
          <w:p w14:paraId="070CEAD4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</w:p>
          <w:p w14:paraId="1B1DD234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2024年中国境内液压张紧装置市场</w:t>
            </w:r>
          </w:p>
          <w:p w14:paraId="591D860E"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Times New Roman"/>
                <w:sz w:val="24"/>
                <w:szCs w:val="24"/>
                <w:lang w:val="en-GB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五洋自控：0-5%</w:t>
            </w:r>
          </w:p>
        </w:tc>
      </w:tr>
    </w:tbl>
    <w:p w14:paraId="4CF7B1B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9C7315"/>
    <w:rsid w:val="219C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2025-10-13T02:54:00Z</dcterms:created>
  <dc:creator>汗青</dc:creator>
  <cp:lastModifiedBy>汗青</cp:lastModifiedBy>
  <dcterms:modified xsi:type="dcterms:W3CDTF">2025-10-13T02:54:28Z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B812AA424228473B893A6791B1F2D269_11</vt:lpwstr>
  </property>
  <property fmtid="{D5CDD505-2E9C-101B-9397-08002B2CF9AE}" pid="4" name="KSOTemplateDocerSaveRecord">
    <vt:lpwstr>eyJoZGlkIjoiNDQzMGY5ZWI0OWM3ZDY2ZDVhMWJmNzNkNjA0OTkyOWYiLCJ1c2VySWQiOiIzNzgxNDI0MDcifQ==</vt:lpwstr>
  </property>
</Properties>
</file>