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3"/>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广州盈蓬私募基金管理有限公司与广州工控投资咨询有限公司新设合营企业案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广州盈蓬私募基金管理有限公司（</w:t>
            </w:r>
            <w:r>
              <w:rPr>
                <w:rFonts w:hint="default" w:ascii="Times New Roman" w:hAnsi="Times New Roman" w:cs="Times New Roman"/>
                <w:b/>
                <w:bCs/>
                <w:sz w:val="24"/>
              </w:rPr>
              <w:t>“广州盈蓬”</w:t>
            </w:r>
            <w:r>
              <w:rPr>
                <w:rFonts w:hint="default" w:ascii="Times New Roman" w:hAnsi="Times New Roman" w:cs="Times New Roman"/>
                <w:sz w:val="24"/>
              </w:rPr>
              <w:t>）与广州工控投资咨询有限公司（</w:t>
            </w:r>
            <w:r>
              <w:rPr>
                <w:rFonts w:hint="default" w:ascii="Times New Roman" w:hAnsi="Times New Roman" w:cs="Times New Roman"/>
                <w:b/>
                <w:bCs/>
                <w:sz w:val="24"/>
              </w:rPr>
              <w:t>“工控投资咨询”</w:t>
            </w:r>
            <w:r>
              <w:rPr>
                <w:rFonts w:hint="default" w:ascii="Times New Roman" w:hAnsi="Times New Roman" w:cs="Times New Roman"/>
                <w:sz w:val="24"/>
              </w:rPr>
              <w:t>）等签订协议，拟共同设立合营企业，主要从事私募股权投资基金业务。交易后，广州盈蓬、工控投资咨询将担任合营企业的普通合伙人，各持有合营企业0.1%的股权，广州盈蓬和工控投资咨询将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pPr>
              <w:pStyle w:val="2"/>
              <w:widowControl/>
              <w:adjustRightInd w:val="0"/>
              <w:snapToGrid w:val="0"/>
              <w:spacing w:after="0"/>
              <w:rPr>
                <w:rFonts w:hint="default"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bCs/>
                <w:color w:val="000000"/>
                <w:sz w:val="24"/>
              </w:rPr>
              <w:t>.</w:t>
            </w:r>
            <w:r>
              <w:rPr>
                <w:rFonts w:hint="eastAsia" w:cs="Times New Roman"/>
                <w:bCs/>
                <w:color w:val="000000"/>
                <w:sz w:val="24"/>
                <w:lang w:val="en-US" w:eastAsia="zh-CN"/>
              </w:rPr>
              <w:t>广州盈蓬</w:t>
            </w:r>
          </w:p>
        </w:tc>
        <w:tc>
          <w:tcPr>
            <w:tcW w:w="6224" w:type="dxa"/>
            <w:vAlign w:val="center"/>
          </w:tcPr>
          <w:p>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广州盈蓬于2017年3月28日成立于广东省广州市，主要从事私募股权投资基金管理、创业投资基金管理服务。</w:t>
            </w:r>
          </w:p>
          <w:p>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广州盈蓬最终控制人为广州汽车工业集团有限公司，主要从事汽车整车及零部件设计与制造，汽车销售与物流，汽车金融、保险及相关服务。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2"/>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pPr>
              <w:pStyle w:val="2"/>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w:t>
            </w:r>
            <w:r>
              <w:rPr>
                <w:rFonts w:hint="eastAsia" w:cs="Times New Roman"/>
                <w:bCs/>
                <w:color w:val="000000"/>
                <w:sz w:val="24"/>
                <w:lang w:val="en-US" w:eastAsia="zh-CN"/>
              </w:rPr>
              <w:t>工控投资咨询</w:t>
            </w:r>
          </w:p>
        </w:tc>
        <w:tc>
          <w:tcPr>
            <w:tcW w:w="6224" w:type="dxa"/>
            <w:vAlign w:val="center"/>
          </w:tcPr>
          <w:p>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工控投资咨询于2017年11月28日成立于广东省广州市，主要从事企业管理咨询、以自有资金从事投资活动、融资咨询服务、企业管理。</w:t>
            </w:r>
          </w:p>
          <w:p>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工控投资咨询最终控制人为广州工业投资控股集团有限公司，以先进制造业、批发和零售贸易、互联网行业及服务业作为四大产业板块。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trPr>
        <w:tc>
          <w:tcPr>
            <w:tcW w:w="1940" w:type="dxa"/>
            <w:shd w:val="clear" w:color="auto" w:fill="D9D9D9"/>
            <w:vAlign w:val="center"/>
          </w:tcPr>
          <w:p>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b/>
                <w:bCs w:val="0"/>
                <w:color w:val="000000" w:themeColor="text1"/>
                <w:kern w:val="0"/>
                <w:sz w:val="24"/>
                <w:lang w:eastAsia="zh-CN"/>
                <w14:textFill>
                  <w14:solidFill>
                    <w14:schemeClr w14:val="tx1"/>
                  </w14:solidFill>
                </w14:textFill>
              </w:rPr>
            </w:pPr>
            <w:r>
              <w:rPr>
                <w:rFonts w:hint="eastAsia"/>
                <w:b/>
                <w:bCs w:val="0"/>
                <w:color w:val="000000" w:themeColor="text1"/>
                <w:kern w:val="0"/>
                <w:sz w:val="24"/>
                <w:lang w:eastAsia="zh-CN"/>
                <w14:textFill>
                  <w14:solidFill>
                    <w14:schemeClr w14:val="tx1"/>
                  </w14:solidFill>
                </w14:textFill>
              </w:rPr>
              <w:t>横向重叠：</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color w:val="000000" w:themeColor="text1"/>
                <w:kern w:val="0"/>
                <w:sz w:val="24"/>
                <w:lang w:eastAsia="zh-CN"/>
                <w14:textFill>
                  <w14:solidFill>
                    <w14:schemeClr w14:val="tx1"/>
                  </w14:solidFill>
                </w14:textFill>
              </w:rPr>
            </w:pPr>
            <w:r>
              <w:rPr>
                <w:rFonts w:hint="eastAsia"/>
                <w:b w:val="0"/>
                <w:bCs/>
                <w:color w:val="000000" w:themeColor="text1"/>
                <w:kern w:val="0"/>
                <w:sz w:val="24"/>
                <w:lang w:eastAsia="zh-CN"/>
                <w14:textFill>
                  <w14:solidFill>
                    <w14:schemeClr w14:val="tx1"/>
                  </w14:solidFill>
                </w14:textFill>
              </w:rPr>
              <w:t>2024年中国境内私募股权投资基金市场</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val="0"/>
                <w:color w:val="000000" w:themeColor="text1"/>
                <w:kern w:val="0"/>
                <w:sz w:val="24"/>
                <w:lang w:val="en-US" w:eastAsia="zh-CN"/>
                <w14:textFill>
                  <w14:solidFill>
                    <w14:schemeClr w14:val="tx1"/>
                  </w14:solidFill>
                </w14:textFill>
              </w:rPr>
            </w:pPr>
            <w:r>
              <w:rPr>
                <w:rFonts w:hint="eastAsia"/>
                <w:b w:val="0"/>
                <w:bCs/>
                <w:color w:val="000000" w:themeColor="text1"/>
                <w:kern w:val="0"/>
                <w:sz w:val="24"/>
                <w:lang w:eastAsia="zh-CN"/>
                <w14:textFill>
                  <w14:solidFill>
                    <w14:schemeClr w14:val="tx1"/>
                  </w14:solidFill>
                </w14:textFill>
              </w:rPr>
              <w:t>广州盈蓬：0-5%，工控投资咨询：0-5%，合营企业（预估）：0-5%，各方合计：0-5%</w:t>
            </w:r>
          </w:p>
        </w:tc>
      </w:tr>
    </w:tbl>
    <w:p>
      <w:pPr>
        <w:adjustRightInd w:val="0"/>
        <w:snapToGrid w:val="0"/>
        <w:rPr>
          <w:rFonts w:eastAsiaTheme="minorEastAsia"/>
        </w:rPr>
      </w:pPr>
      <w:bookmarkStart w:id="0" w:name="_GoBack"/>
      <w:bookmarkEnd w:id="0"/>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BD135B"/>
    <w:rsid w:val="0DBD135B"/>
    <w:rsid w:val="F74E2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1</Pages>
  <Words>0</Words>
  <Characters>0</Characters>
  <Lines>0</Lines>
  <Paragraphs>0</Paragraphs>
  <TotalTime>0</TotalTime>
  <ScaleCrop>false</ScaleCrop>
  <LinksUpToDate>false</LinksUpToDate>
  <CharactersWithSpaces>0</CharactersWithSpaces>
  <Application>WPS Office_11.8.2.12065_F1E327BC-269C-435d-A152-05C5408002CA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2025-11-05T09:10:00Z</dcterms:created>
  <dc:creator>王雪娇</dc:creator>
  <cp:lastModifiedBy>scj</cp:lastModifiedBy>
  <dcterms:modified xsi:type="dcterms:W3CDTF">2025-11-05T09:23:45Z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2052-11.8.2.12065</vt:lpwstr>
  </property>
  <property fmtid="{D5CDD505-2E9C-101B-9397-08002B2CF9AE}" pid="3" name="ICV">
    <vt:lpwstr>B12AE26EBC614F42BEA84E3E0F489A29_11</vt:lpwstr>
  </property>
  <property fmtid="{D5CDD505-2E9C-101B-9397-08002B2CF9AE}" pid="4" name="KSOTemplateDocerSaveRecord">
    <vt:lpwstr>eyJoZGlkIjoiODNjM2VkZWUwYjdkZDYzZGY2NmZiZGNiZGIyMjFjYWIiLCJ1c2VySWQiOiIxMDI4NzQ1MTQzIn0=</vt:lpwstr>
  </property>
</Properties>
</file>