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DA562">
      <w:pPr>
        <w:pStyle w:val="8"/>
        <w:ind w:firstLine="0" w:firstLineChars="0"/>
        <w:rPr>
          <w:rFonts w:eastAsia="黑体"/>
          <w:color w:val="000000"/>
          <w:sz w:val="32"/>
          <w:szCs w:val="32"/>
        </w:rPr>
      </w:pPr>
      <w:bookmarkStart w:id="0" w:name="_GoBack"/>
      <w:bookmarkEnd w:id="0"/>
      <w:r>
        <w:rPr>
          <w:rFonts w:eastAsia="黑体"/>
          <w:color w:val="000000"/>
          <w:sz w:val="32"/>
          <w:szCs w:val="32"/>
        </w:rPr>
        <w:t>附件3</w:t>
      </w:r>
    </w:p>
    <w:p w14:paraId="6722A5FD">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C0C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58F9B3A7">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7C210D97">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广西旅发大健康产业集团有限公司收购南方黑芝麻集团股份有限公司股权案</w:t>
            </w:r>
          </w:p>
        </w:tc>
      </w:tr>
      <w:tr w14:paraId="607B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16EBDEC5">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0797A5AA">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广西旅发大健康产业集团有限公司（“广旅大健康”）与广西黑五类食品集团有限责任公司（“黑五类集团”）签署股份转让协议，广旅大健康收购南方黑芝麻集团股份有限公司（“南方黑芝麻”）共计20%的股份。南方黑芝麻主要从事生产和销售黑芝麻冲饮、黑芝麻饮料、休闲零食等黑色健康食品、大米，以及电商平台经营业务。交易前，黑五类集团及其一致行动人合计持有南方黑芝麻37.23%的股权，单独控制南方黑芝麻。交易后，广旅大健康将持有南方黑芝麻20%的股份，单独控制南方黑芝麻。</w:t>
            </w:r>
          </w:p>
        </w:tc>
      </w:tr>
      <w:tr w14:paraId="6D69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29710A2C">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49CCDBBE">
            <w:pPr>
              <w:pStyle w:val="7"/>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w:t>
            </w:r>
            <w:r>
              <w:rPr>
                <w:rFonts w:hint="eastAsia" w:ascii="Times New Roman" w:hAnsi="Times New Roman" w:cs="Times New Roman"/>
                <w:sz w:val="24"/>
                <w:lang w:eastAsia="zh-CN"/>
              </w:rPr>
              <w:t>广旅大健康</w:t>
            </w:r>
          </w:p>
        </w:tc>
        <w:tc>
          <w:tcPr>
            <w:tcW w:w="6224" w:type="dxa"/>
            <w:vAlign w:val="center"/>
          </w:tcPr>
          <w:p w14:paraId="132D6498">
            <w:pPr>
              <w:pStyle w:val="7"/>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广旅大健康于2009年11月20日成立于广西壮族自治区南宁市，主要从事医疗、养老行业相关业务。</w:t>
            </w:r>
          </w:p>
          <w:p w14:paraId="61D10D53">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广旅大健康最终控制人为广西旅游发展集团有限公司，主要从事文旅、康养、城建相关的投资、运营与管理</w:t>
            </w:r>
          </w:p>
        </w:tc>
      </w:tr>
      <w:tr w14:paraId="081E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031A5D7">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0FBFB41">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南方黑芝麻</w:t>
            </w:r>
          </w:p>
        </w:tc>
        <w:tc>
          <w:tcPr>
            <w:tcW w:w="6224" w:type="dxa"/>
            <w:vAlign w:val="center"/>
          </w:tcPr>
          <w:p w14:paraId="10D74E28">
            <w:pPr>
              <w:pStyle w:val="7"/>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南方黑芝麻于1993年5月31日成立于广西壮族自治区玉林市，为深圳证券交易所上市公司，主要从事生产和销售黑芝麻冲饮、黑芝麻饮料、休闲零食等黑色健康食品、大米，以及电商平台经营业务。</w:t>
            </w:r>
          </w:p>
          <w:p w14:paraId="207C7AB6">
            <w:pPr>
              <w:pStyle w:val="7"/>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南方黑芝麻最终控制人为自然人，主要从事生产和销售黑芝麻冲饮、黑芝麻饮料、休闲零食等黑色健康食品、大米，以及电商平台经营业务。</w:t>
            </w:r>
          </w:p>
        </w:tc>
      </w:tr>
      <w:tr w14:paraId="7354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4208BAF8">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65A6D12A">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3F66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7A8E681C">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3BD4D022">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2F49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49558A98">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38D0FD7E">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07BA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3CE053E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B9D2CD5">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0EC9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36A5143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36B42D7D">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7D204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F718178">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48F1B9AC">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6E02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050B2A97">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7BBA2ADD">
            <w:pPr>
              <w:pStyle w:val="7"/>
              <w:adjustRightInd w:val="0"/>
              <w:snapToGrid w:val="0"/>
              <w:spacing w:after="0"/>
              <w:rPr>
                <w:rFonts w:hint="eastAsia" w:cs="Times New Roman"/>
                <w:b/>
                <w:bCs w:val="0"/>
                <w:color w:val="000000" w:themeColor="text1"/>
                <w:kern w:val="0"/>
                <w:sz w:val="24"/>
                <w:szCs w:val="24"/>
                <w:lang w:val="en-US" w:eastAsia="zh-CN" w:bidi="ar-SA"/>
                <w14:textFill>
                  <w14:solidFill>
                    <w14:schemeClr w14:val="tx1"/>
                  </w14:solidFill>
                </w14:textFill>
              </w:rPr>
            </w:pPr>
            <w:r>
              <w:rPr>
                <w:rFonts w:hint="eastAsia" w:cs="Times New Roman"/>
                <w:b/>
                <w:bCs w:val="0"/>
                <w:color w:val="000000" w:themeColor="text1"/>
                <w:kern w:val="0"/>
                <w:sz w:val="24"/>
                <w:szCs w:val="24"/>
                <w:lang w:val="en-US" w:eastAsia="zh-CN" w:bidi="ar-SA"/>
                <w14:textFill>
                  <w14:solidFill>
                    <w14:schemeClr w14:val="tx1"/>
                  </w14:solidFill>
                </w14:textFill>
              </w:rPr>
              <w:t>混合集中：</w:t>
            </w:r>
          </w:p>
          <w:p w14:paraId="12D032F9">
            <w:pPr>
              <w:pStyle w:val="7"/>
              <w:adjustRightInd w:val="0"/>
              <w:snapToGrid w:val="0"/>
              <w:spacing w:after="0"/>
              <w:rPr>
                <w:rFonts w:hint="eastAsia" w:cs="Times New Roman"/>
                <w:b w:val="0"/>
                <w:bCs/>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2024年中国境内冲调谷物制品市场：</w:t>
            </w:r>
          </w:p>
          <w:p w14:paraId="6D1F1B75">
            <w:pPr>
              <w:pStyle w:val="7"/>
              <w:adjustRightInd w:val="0"/>
              <w:snapToGrid w:val="0"/>
              <w:spacing w:after="0"/>
              <w:rPr>
                <w:rFonts w:hint="eastAsia" w:cs="Times New Roman"/>
                <w:b w:val="0"/>
                <w:bCs/>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南方黑芝麻：0-5%</w:t>
            </w:r>
          </w:p>
          <w:p w14:paraId="53522DFF">
            <w:pPr>
              <w:pStyle w:val="7"/>
              <w:adjustRightInd w:val="0"/>
              <w:snapToGrid w:val="0"/>
              <w:spacing w:after="0"/>
              <w:rPr>
                <w:rFonts w:hint="eastAsia" w:cs="Times New Roman"/>
                <w:b w:val="0"/>
                <w:bCs/>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2024年中国境内大米市场：</w:t>
            </w:r>
          </w:p>
          <w:p w14:paraId="6E050516">
            <w:pPr>
              <w:pStyle w:val="7"/>
              <w:adjustRightInd w:val="0"/>
              <w:snapToGrid w:val="0"/>
              <w:spacing w:after="0"/>
              <w:rPr>
                <w:rFonts w:hint="eastAsia" w:cs="Times New Roman"/>
                <w:b w:val="0"/>
                <w:bCs/>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南方黑芝麻：0-5%</w:t>
            </w:r>
          </w:p>
          <w:p w14:paraId="091788B6">
            <w:pPr>
              <w:pStyle w:val="7"/>
              <w:adjustRightInd w:val="0"/>
              <w:snapToGrid w:val="0"/>
              <w:spacing w:after="0"/>
              <w:rPr>
                <w:rFonts w:hint="eastAsia" w:cs="Times New Roman"/>
                <w:b w:val="0"/>
                <w:bCs/>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2024年中国境内电商代运营市场：</w:t>
            </w:r>
          </w:p>
          <w:p w14:paraId="7D93162C">
            <w:pPr>
              <w:pStyle w:val="7"/>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南方黑芝麻：0-5%</w:t>
            </w:r>
          </w:p>
        </w:tc>
      </w:tr>
    </w:tbl>
    <w:p w14:paraId="6E331131">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4D40D3"/>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301601A6"/>
    <w:rsid w:val="3025112D"/>
    <w:rsid w:val="306F1D95"/>
    <w:rsid w:val="31687D65"/>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next w:val="8"/>
    <w:link w:val="19"/>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8"/>
    <w:qFormat/>
    <w:uiPriority w:val="0"/>
    <w:pPr>
      <w:tabs>
        <w:tab w:val="center" w:pos="4153"/>
        <w:tab w:val="right" w:pos="8306"/>
      </w:tabs>
      <w:snapToGrid w:val="0"/>
      <w:jc w:val="left"/>
    </w:pPr>
    <w:rPr>
      <w:sz w:val="18"/>
      <w:szCs w:val="18"/>
    </w:rPr>
  </w:style>
  <w:style w:type="paragraph" w:styleId="10">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10"/>
    <w:qFormat/>
    <w:uiPriority w:val="0"/>
    <w:rPr>
      <w:rFonts w:ascii="Times New Roman" w:hAnsi="Times New Roman" w:eastAsia="宋体" w:cs="Times New Roman"/>
      <w:kern w:val="2"/>
      <w:sz w:val="18"/>
      <w:szCs w:val="18"/>
    </w:rPr>
  </w:style>
  <w:style w:type="character" w:customStyle="1" w:styleId="18">
    <w:name w:val="页脚 字符"/>
    <w:basedOn w:val="14"/>
    <w:link w:val="9"/>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9"/>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2</Pages>
  <Words>1929</Words>
  <Characters>2065</Characters>
  <Lines>1</Lines>
  <Paragraphs>1</Paragraphs>
  <TotalTime>0</TotalTime>
  <ScaleCrop>false</ScaleCrop>
  <LinksUpToDate>false</LinksUpToDate>
  <CharactersWithSpaces>2928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2025-11-18T02:05:01Z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