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CF9CC">
      <w:pPr>
        <w:widowControl/>
        <w:spacing w:after="240"/>
        <w:jc w:val="center"/>
        <w:rPr>
          <w:rFonts w:eastAsia="黑体"/>
          <w:bCs/>
          <w:kern w:val="0"/>
          <w:sz w:val="44"/>
          <w:szCs w:val="44"/>
          <w:lang w:val="en-GB" w:bidi="ar-AE"/>
        </w:rPr>
      </w:pPr>
      <w:r>
        <w:rPr>
          <w:rFonts w:eastAsia="黑体"/>
          <w:bCs/>
          <w:sz w:val="44"/>
          <w:szCs w:val="44"/>
        </w:rPr>
        <w:t xml:space="preserve"> </w:t>
      </w:r>
      <w:r>
        <w:rPr>
          <w:rFonts w:eastAsia="方正小标宋简体"/>
          <w:bCs/>
          <w:kern w:val="0"/>
          <w:sz w:val="44"/>
          <w:szCs w:val="44"/>
          <w:lang w:val="en-GB" w:bidi="ar-AE"/>
        </w:rPr>
        <w:t>经营者集中简易案件公示表</w:t>
      </w:r>
    </w:p>
    <w:tbl>
      <w:tblPr>
        <w:tblStyle w:val="7"/>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1891"/>
        <w:gridCol w:w="6093"/>
      </w:tblGrid>
      <w:tr w14:paraId="144D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656" w:type="dxa"/>
            <w:shd w:val="clear" w:color="auto" w:fill="auto"/>
            <w:vAlign w:val="center"/>
          </w:tcPr>
          <w:p w14:paraId="03EC28C3">
            <w:pPr>
              <w:pStyle w:val="3"/>
              <w:widowControl/>
              <w:adjustRightInd w:val="0"/>
              <w:snapToGrid w:val="0"/>
              <w:spacing w:after="0"/>
              <w:jc w:val="center"/>
              <w:rPr>
                <w:b/>
                <w:bCs w:val="0"/>
                <w:color w:val="000000"/>
                <w:szCs w:val="21"/>
              </w:rPr>
            </w:pPr>
            <w:r>
              <w:rPr>
                <w:rFonts w:hint="default" w:ascii="Times New Roman" w:hAnsi="Times New Roman" w:cs="Times New Roman"/>
                <w:b/>
                <w:bCs w:val="0"/>
                <w:color w:val="000000"/>
                <w:sz w:val="24"/>
              </w:rPr>
              <w:t>案件名称</w:t>
            </w:r>
          </w:p>
        </w:tc>
        <w:tc>
          <w:tcPr>
            <w:tcW w:w="7984" w:type="dxa"/>
            <w:gridSpan w:val="2"/>
            <w:shd w:val="clear" w:color="auto" w:fill="auto"/>
            <w:vAlign w:val="center"/>
          </w:tcPr>
          <w:p w14:paraId="640A42E0">
            <w:pPr>
              <w:widowControl/>
              <w:adjustRightInd w:val="0"/>
              <w:snapToGrid w:val="0"/>
              <w:rPr>
                <w:rFonts w:hint="default" w:ascii="Times New Roman" w:hAnsi="Times New Roman" w:cs="Times New Roman"/>
                <w:sz w:val="24"/>
              </w:rPr>
            </w:pPr>
            <w:r>
              <w:rPr>
                <w:rFonts w:hint="eastAsia" w:ascii="Times New Roman" w:hAnsi="Times New Roman" w:cs="Times New Roman"/>
                <w:sz w:val="24"/>
              </w:rPr>
              <w:t>深圳市广晟私募基金管理有限公司与广东恒健资产管理有限公司新设合营企业案</w:t>
            </w:r>
          </w:p>
        </w:tc>
      </w:tr>
      <w:tr w14:paraId="0DC1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1656" w:type="dxa"/>
            <w:shd w:val="clear" w:color="auto" w:fill="auto"/>
            <w:vAlign w:val="center"/>
          </w:tcPr>
          <w:p w14:paraId="38FA7A35">
            <w:pPr>
              <w:pStyle w:val="3"/>
              <w:widowControl/>
              <w:adjustRightInd w:val="0"/>
              <w:snapToGrid w:val="0"/>
              <w:spacing w:after="0"/>
              <w:jc w:val="center"/>
              <w:rPr>
                <w:b/>
                <w:bCs w:val="0"/>
                <w:color w:val="000000"/>
                <w:szCs w:val="21"/>
              </w:rPr>
            </w:pPr>
            <w:r>
              <w:rPr>
                <w:rFonts w:hint="default" w:ascii="Times New Roman" w:hAnsi="Times New Roman" w:cs="Times New Roman"/>
                <w:b/>
                <w:bCs w:val="0"/>
                <w:color w:val="000000"/>
                <w:sz w:val="24"/>
              </w:rPr>
              <w:t>交易概况（限200字内）</w:t>
            </w:r>
          </w:p>
        </w:tc>
        <w:tc>
          <w:tcPr>
            <w:tcW w:w="7984" w:type="dxa"/>
            <w:gridSpan w:val="2"/>
            <w:vAlign w:val="center"/>
          </w:tcPr>
          <w:p w14:paraId="76C2B275">
            <w:pPr>
              <w:widowControl/>
              <w:adjustRightInd w:val="0"/>
              <w:snapToGrid w:val="0"/>
              <w:rPr>
                <w:rFonts w:hint="eastAsia" w:ascii="Times New Roman" w:hAnsi="Times New Roman" w:cs="Times New Roman"/>
                <w:sz w:val="24"/>
              </w:rPr>
            </w:pPr>
          </w:p>
          <w:p w14:paraId="44325A8A">
            <w:pPr>
              <w:widowControl/>
              <w:adjustRightInd w:val="0"/>
              <w:snapToGrid w:val="0"/>
              <w:rPr>
                <w:rFonts w:hint="default" w:ascii="Times New Roman" w:hAnsi="Times New Roman" w:cs="Times New Roman"/>
                <w:sz w:val="24"/>
              </w:rPr>
            </w:pPr>
            <w:r>
              <w:rPr>
                <w:rFonts w:hint="eastAsia" w:ascii="Times New Roman" w:hAnsi="Times New Roman" w:cs="Times New Roman"/>
                <w:sz w:val="24"/>
              </w:rPr>
              <w:t>深圳市广晟私募基金管理有限公司</w:t>
            </w:r>
            <w:r>
              <w:rPr>
                <w:rFonts w:hint="eastAsia" w:ascii="Times New Roman" w:hAnsi="Times New Roman" w:cs="Times New Roman"/>
                <w:b/>
                <w:bCs/>
                <w:sz w:val="24"/>
              </w:rPr>
              <w:t>（“广晟私募”）</w:t>
            </w:r>
            <w:r>
              <w:rPr>
                <w:rFonts w:hint="eastAsia" w:ascii="Times New Roman" w:hAnsi="Times New Roman" w:cs="Times New Roman"/>
                <w:sz w:val="24"/>
                <w:lang w:eastAsia="zh-CN"/>
              </w:rPr>
              <w:t>与</w:t>
            </w:r>
            <w:r>
              <w:rPr>
                <w:rFonts w:hint="eastAsia" w:ascii="Times New Roman" w:hAnsi="Times New Roman" w:cs="Times New Roman"/>
                <w:sz w:val="24"/>
              </w:rPr>
              <w:t>广东恒健资产管理有限公司</w:t>
            </w:r>
            <w:r>
              <w:rPr>
                <w:rFonts w:hint="eastAsia" w:ascii="Times New Roman" w:hAnsi="Times New Roman" w:cs="Times New Roman"/>
                <w:b/>
                <w:bCs/>
                <w:sz w:val="24"/>
              </w:rPr>
              <w:t>（“恒健资管”）</w:t>
            </w:r>
            <w:r>
              <w:rPr>
                <w:rFonts w:hint="eastAsia" w:ascii="Times New Roman" w:hAnsi="Times New Roman" w:cs="Times New Roman"/>
                <w:sz w:val="24"/>
                <w:lang w:eastAsia="zh-CN"/>
              </w:rPr>
              <w:t>等经营者签订协议，</w:t>
            </w:r>
            <w:r>
              <w:rPr>
                <w:rFonts w:hint="eastAsia" w:ascii="Times New Roman" w:hAnsi="Times New Roman" w:cs="Times New Roman"/>
                <w:sz w:val="24"/>
              </w:rPr>
              <w:t>拟共同新设合营企业</w:t>
            </w:r>
            <w:r>
              <w:rPr>
                <w:rFonts w:hint="eastAsia" w:ascii="Times New Roman" w:hAnsi="Times New Roman" w:cs="Times New Roman"/>
                <w:sz w:val="24"/>
                <w:lang w:eastAsia="zh-CN"/>
              </w:rPr>
              <w:t>，主要</w:t>
            </w:r>
            <w:r>
              <w:rPr>
                <w:rFonts w:hint="eastAsia" w:ascii="Times New Roman" w:hAnsi="Times New Roman" w:cs="Times New Roman"/>
                <w:sz w:val="24"/>
              </w:rPr>
              <w:t>从事私募股权投资基金业务。</w:t>
            </w:r>
            <w:r>
              <w:rPr>
                <w:rFonts w:hint="eastAsia" w:ascii="Times New Roman" w:hAnsi="Times New Roman" w:cs="Times New Roman"/>
                <w:sz w:val="24"/>
                <w:lang w:eastAsia="zh-CN"/>
              </w:rPr>
              <w:t>交易后，</w:t>
            </w:r>
            <w:r>
              <w:rPr>
                <w:rFonts w:hint="eastAsia" w:ascii="Times New Roman" w:hAnsi="Times New Roman" w:cs="Times New Roman"/>
                <w:sz w:val="24"/>
              </w:rPr>
              <w:t>广晟私募</w:t>
            </w:r>
            <w:r>
              <w:rPr>
                <w:rFonts w:hint="eastAsia" w:ascii="Times New Roman" w:hAnsi="Times New Roman" w:cs="Times New Roman"/>
                <w:sz w:val="24"/>
                <w:lang w:eastAsia="zh-CN"/>
              </w:rPr>
              <w:t>、</w:t>
            </w:r>
            <w:r>
              <w:rPr>
                <w:rFonts w:hint="eastAsia" w:ascii="Times New Roman" w:hAnsi="Times New Roman" w:cs="Times New Roman"/>
                <w:sz w:val="24"/>
              </w:rPr>
              <w:t>恒健资管</w:t>
            </w:r>
            <w:r>
              <w:rPr>
                <w:rFonts w:hint="eastAsia" w:ascii="Times New Roman" w:hAnsi="Times New Roman" w:cs="Times New Roman"/>
                <w:sz w:val="24"/>
                <w:lang w:eastAsia="zh-CN"/>
              </w:rPr>
              <w:t>将作为</w:t>
            </w:r>
            <w:r>
              <w:rPr>
                <w:rFonts w:hint="eastAsia" w:ascii="Times New Roman" w:hAnsi="Times New Roman" w:cs="Times New Roman"/>
                <w:sz w:val="24"/>
              </w:rPr>
              <w:t>普通合伙人</w:t>
            </w:r>
            <w:r>
              <w:rPr>
                <w:rFonts w:hint="eastAsia" w:ascii="Times New Roman" w:hAnsi="Times New Roman" w:cs="Times New Roman"/>
                <w:sz w:val="24"/>
                <w:lang w:val="en-US" w:eastAsia="zh-CN"/>
              </w:rPr>
              <w:t>和</w:t>
            </w:r>
            <w:r>
              <w:rPr>
                <w:rFonts w:hint="eastAsia" w:ascii="Times New Roman" w:hAnsi="Times New Roman" w:cs="Times New Roman"/>
                <w:sz w:val="24"/>
              </w:rPr>
              <w:t>执行事务合伙人</w:t>
            </w:r>
            <w:r>
              <w:rPr>
                <w:rFonts w:hint="eastAsia" w:ascii="Times New Roman" w:hAnsi="Times New Roman" w:cs="Times New Roman"/>
                <w:sz w:val="24"/>
                <w:lang w:eastAsia="zh-CN"/>
              </w:rPr>
              <w:t>，各</w:t>
            </w:r>
            <w:r>
              <w:rPr>
                <w:rFonts w:hint="eastAsia" w:ascii="Times New Roman" w:hAnsi="Times New Roman" w:cs="Times New Roman"/>
                <w:sz w:val="24"/>
                <w:lang w:val="en-US" w:eastAsia="zh-CN"/>
              </w:rPr>
              <w:t>持有</w:t>
            </w:r>
            <w:r>
              <w:rPr>
                <w:rFonts w:hint="eastAsia" w:ascii="Times New Roman" w:hAnsi="Times New Roman" w:cs="Times New Roman"/>
                <w:sz w:val="24"/>
              </w:rPr>
              <w:t>合营企业</w:t>
            </w:r>
            <w:r>
              <w:rPr>
                <w:rFonts w:hint="eastAsia" w:ascii="Times New Roman" w:hAnsi="Times New Roman" w:cs="Times New Roman"/>
                <w:sz w:val="24"/>
                <w:lang w:val="en-US" w:eastAsia="zh-CN"/>
              </w:rPr>
              <w:t>0.1%股权，</w:t>
            </w:r>
            <w:r>
              <w:rPr>
                <w:rFonts w:hint="eastAsia" w:ascii="Times New Roman" w:hAnsi="Times New Roman" w:cs="Times New Roman"/>
                <w:sz w:val="24"/>
              </w:rPr>
              <w:t>共同控制合营企业</w:t>
            </w:r>
            <w:r>
              <w:rPr>
                <w:rFonts w:hint="eastAsia" w:ascii="Times New Roman" w:hAnsi="Times New Roman" w:cs="Times New Roman"/>
                <w:sz w:val="24"/>
                <w:lang w:eastAsia="zh-CN"/>
              </w:rPr>
              <w:t>。</w:t>
            </w:r>
          </w:p>
          <w:p w14:paraId="0AAAA505">
            <w:pPr>
              <w:widowControl/>
              <w:adjustRightInd w:val="0"/>
              <w:snapToGrid w:val="0"/>
              <w:rPr>
                <w:rFonts w:hint="default" w:ascii="Times New Roman" w:hAnsi="Times New Roman" w:cs="Times New Roman"/>
                <w:sz w:val="24"/>
              </w:rPr>
            </w:pPr>
          </w:p>
        </w:tc>
      </w:tr>
      <w:tr w14:paraId="3DFE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8" w:hRule="atLeast"/>
          <w:jc w:val="center"/>
        </w:trPr>
        <w:tc>
          <w:tcPr>
            <w:tcW w:w="1656" w:type="dxa"/>
            <w:vMerge w:val="restart"/>
            <w:shd w:val="clear" w:color="auto" w:fill="auto"/>
            <w:vAlign w:val="center"/>
          </w:tcPr>
          <w:p w14:paraId="26560D6D">
            <w:pPr>
              <w:pStyle w:val="3"/>
              <w:widowControl/>
              <w:adjustRightInd w:val="0"/>
              <w:snapToGrid w:val="0"/>
              <w:spacing w:after="0"/>
              <w:jc w:val="center"/>
              <w:rPr>
                <w:b/>
                <w:bCs w:val="0"/>
                <w:color w:val="000000"/>
                <w:szCs w:val="21"/>
              </w:rPr>
            </w:pPr>
            <w:r>
              <w:rPr>
                <w:rFonts w:hint="default" w:ascii="Times New Roman" w:hAnsi="Times New Roman" w:cs="Times New Roman"/>
                <w:b/>
                <w:bCs w:val="0"/>
                <w:color w:val="000000"/>
                <w:sz w:val="24"/>
              </w:rPr>
              <w:t>参与集中的经营者简介（每个限100字内）</w:t>
            </w:r>
          </w:p>
        </w:tc>
        <w:tc>
          <w:tcPr>
            <w:tcW w:w="1891" w:type="dxa"/>
            <w:vAlign w:val="center"/>
          </w:tcPr>
          <w:p w14:paraId="57E43F59">
            <w:pPr>
              <w:widowControl/>
              <w:adjustRightInd w:val="0"/>
              <w:snapToGrid w:val="0"/>
              <w:rPr>
                <w:rFonts w:hint="default"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rPr>
              <w:t>广晟私募</w:t>
            </w:r>
          </w:p>
        </w:tc>
        <w:tc>
          <w:tcPr>
            <w:tcW w:w="6093" w:type="dxa"/>
            <w:vAlign w:val="center"/>
          </w:tcPr>
          <w:p w14:paraId="0EEF3A00">
            <w:pPr>
              <w:widowControl/>
              <w:adjustRightInd w:val="0"/>
              <w:snapToGrid w:val="0"/>
              <w:rPr>
                <w:rFonts w:hint="eastAsia" w:ascii="Times New Roman" w:hAnsi="Times New Roman" w:cs="Times New Roman"/>
                <w:sz w:val="24"/>
              </w:rPr>
            </w:pPr>
          </w:p>
          <w:p w14:paraId="15CBDC89">
            <w:pPr>
              <w:widowControl/>
              <w:adjustRightInd w:val="0"/>
              <w:snapToGrid w:val="0"/>
              <w:rPr>
                <w:rFonts w:hint="eastAsia" w:ascii="Times New Roman" w:hAnsi="Times New Roman" w:cs="Times New Roman"/>
                <w:sz w:val="24"/>
              </w:rPr>
            </w:pPr>
            <w:r>
              <w:rPr>
                <w:rFonts w:hint="eastAsia" w:ascii="Times New Roman" w:hAnsi="Times New Roman" w:cs="Times New Roman"/>
                <w:sz w:val="24"/>
              </w:rPr>
              <w:t>广晟私募</w:t>
            </w:r>
            <w:r>
              <w:rPr>
                <w:rFonts w:hint="default" w:ascii="Times New Roman" w:hAnsi="Times New Roman" w:cs="Times New Roman"/>
                <w:sz w:val="24"/>
              </w:rPr>
              <w:t>于200</w:t>
            </w:r>
            <w:r>
              <w:rPr>
                <w:rFonts w:hint="eastAsia" w:ascii="Times New Roman" w:hAnsi="Times New Roman" w:cs="Times New Roman"/>
                <w:sz w:val="24"/>
                <w:lang w:val="en-US" w:eastAsia="zh-CN"/>
              </w:rPr>
              <w:t>3</w:t>
            </w:r>
            <w:r>
              <w:rPr>
                <w:rFonts w:hint="default" w:ascii="Times New Roman" w:hAnsi="Times New Roman" w:cs="Times New Roman"/>
                <w:sz w:val="24"/>
              </w:rPr>
              <w:t>年</w:t>
            </w:r>
            <w:r>
              <w:rPr>
                <w:rFonts w:hint="eastAsia" w:ascii="Times New Roman" w:hAnsi="Times New Roman" w:cs="Times New Roman"/>
                <w:sz w:val="24"/>
                <w:lang w:val="en-US" w:eastAsia="zh-CN"/>
              </w:rPr>
              <w:t>8</w:t>
            </w:r>
            <w:r>
              <w:rPr>
                <w:rFonts w:hint="default" w:ascii="Times New Roman" w:hAnsi="Times New Roman" w:cs="Times New Roman"/>
                <w:sz w:val="24"/>
              </w:rPr>
              <w:t>月</w:t>
            </w:r>
            <w:r>
              <w:rPr>
                <w:rFonts w:hint="eastAsia" w:ascii="Times New Roman" w:hAnsi="Times New Roman" w:cs="Times New Roman"/>
                <w:sz w:val="24"/>
                <w:lang w:val="en-US" w:eastAsia="zh-CN"/>
              </w:rPr>
              <w:t>27</w:t>
            </w:r>
            <w:r>
              <w:rPr>
                <w:rFonts w:hint="eastAsia" w:ascii="Times New Roman" w:hAnsi="Times New Roman" w:cs="Times New Roman"/>
                <w:sz w:val="24"/>
              </w:rPr>
              <w:t>日成立于广东省</w:t>
            </w:r>
            <w:r>
              <w:rPr>
                <w:rFonts w:hint="eastAsia" w:ascii="Times New Roman" w:hAnsi="Times New Roman" w:cs="Times New Roman"/>
                <w:sz w:val="24"/>
                <w:lang w:val="en-US" w:eastAsia="zh-CN"/>
              </w:rPr>
              <w:t>深圳</w:t>
            </w:r>
            <w:r>
              <w:rPr>
                <w:rFonts w:hint="eastAsia" w:ascii="Times New Roman" w:hAnsi="Times New Roman" w:cs="Times New Roman"/>
                <w:sz w:val="24"/>
              </w:rPr>
              <w:t>市，主要从事投资活动、私募股权投资基金管理服务</w:t>
            </w:r>
            <w:r>
              <w:rPr>
                <w:rFonts w:hint="eastAsia" w:ascii="Times New Roman" w:hAnsi="Times New Roman" w:cs="Times New Roman"/>
                <w:sz w:val="24"/>
                <w:lang w:val="en-US" w:eastAsia="zh-CN"/>
              </w:rPr>
              <w:t>等</w:t>
            </w:r>
            <w:r>
              <w:rPr>
                <w:rFonts w:hint="eastAsia" w:ascii="Times New Roman" w:hAnsi="Times New Roman" w:cs="Times New Roman"/>
                <w:sz w:val="24"/>
              </w:rPr>
              <w:t>。</w:t>
            </w:r>
          </w:p>
          <w:p w14:paraId="197B3AEC">
            <w:pPr>
              <w:widowControl/>
              <w:adjustRightInd w:val="0"/>
              <w:snapToGrid w:val="0"/>
              <w:rPr>
                <w:rFonts w:hint="eastAsia" w:ascii="Times New Roman" w:hAnsi="Times New Roman" w:cs="Times New Roman"/>
                <w:sz w:val="24"/>
              </w:rPr>
            </w:pPr>
            <w:r>
              <w:rPr>
                <w:rFonts w:hint="eastAsia" w:ascii="Times New Roman" w:hAnsi="Times New Roman" w:cs="Times New Roman"/>
                <w:sz w:val="24"/>
              </w:rPr>
              <w:t>广晟私募最终控制人</w:t>
            </w:r>
            <w:r>
              <w:rPr>
                <w:rFonts w:hint="eastAsia" w:ascii="Times New Roman" w:hAnsi="Times New Roman" w:cs="Times New Roman"/>
                <w:sz w:val="24"/>
                <w:lang w:eastAsia="zh-CN"/>
              </w:rPr>
              <w:t>为</w:t>
            </w:r>
            <w:r>
              <w:rPr>
                <w:rFonts w:hint="eastAsia" w:ascii="Times New Roman" w:hAnsi="Times New Roman" w:cs="Times New Roman"/>
                <w:sz w:val="24"/>
              </w:rPr>
              <w:t>广东省广晟控股集团有限公司，</w:t>
            </w:r>
            <w:r>
              <w:rPr>
                <w:rFonts w:hint="eastAsia" w:ascii="Times New Roman" w:hAnsi="Times New Roman" w:cs="Times New Roman"/>
                <w:sz w:val="24"/>
                <w:lang w:val="en-US" w:eastAsia="zh-CN"/>
              </w:rPr>
              <w:t>主要从事</w:t>
            </w:r>
            <w:r>
              <w:rPr>
                <w:rFonts w:hint="eastAsia" w:ascii="Times New Roman" w:hAnsi="Times New Roman" w:cs="Times New Roman"/>
                <w:sz w:val="24"/>
              </w:rPr>
              <w:t>矿产资源、电子信息业，环保、金融</w:t>
            </w:r>
            <w:r>
              <w:rPr>
                <w:rFonts w:hint="eastAsia" w:ascii="Times New Roman" w:hAnsi="Times New Roman" w:cs="Times New Roman"/>
                <w:sz w:val="24"/>
                <w:lang w:val="en-US" w:eastAsia="zh-CN"/>
              </w:rPr>
              <w:t>等</w:t>
            </w:r>
            <w:r>
              <w:rPr>
                <w:rFonts w:hint="eastAsia" w:ascii="Times New Roman" w:hAnsi="Times New Roman" w:cs="Times New Roman"/>
                <w:sz w:val="24"/>
              </w:rPr>
              <w:t>板块协同发展。</w:t>
            </w:r>
          </w:p>
          <w:p w14:paraId="3CD67273">
            <w:pPr>
              <w:widowControl/>
              <w:adjustRightInd w:val="0"/>
              <w:snapToGrid w:val="0"/>
              <w:rPr>
                <w:rFonts w:hint="default" w:ascii="Times New Roman" w:hAnsi="Times New Roman" w:cs="Times New Roman"/>
                <w:sz w:val="24"/>
              </w:rPr>
            </w:pPr>
          </w:p>
        </w:tc>
      </w:tr>
      <w:tr w14:paraId="72CE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5" w:hRule="atLeast"/>
          <w:jc w:val="center"/>
        </w:trPr>
        <w:tc>
          <w:tcPr>
            <w:tcW w:w="1656" w:type="dxa"/>
            <w:vMerge w:val="continue"/>
            <w:shd w:val="clear" w:color="auto" w:fill="auto"/>
            <w:vAlign w:val="center"/>
          </w:tcPr>
          <w:p w14:paraId="7383C592">
            <w:pPr>
              <w:pStyle w:val="3"/>
              <w:adjustRightInd w:val="0"/>
              <w:snapToGrid w:val="0"/>
              <w:spacing w:after="0"/>
              <w:jc w:val="center"/>
              <w:rPr>
                <w:b/>
                <w:bCs w:val="0"/>
                <w:color w:val="000000"/>
                <w:sz w:val="24"/>
              </w:rPr>
            </w:pPr>
          </w:p>
        </w:tc>
        <w:tc>
          <w:tcPr>
            <w:tcW w:w="1891" w:type="dxa"/>
            <w:vAlign w:val="center"/>
          </w:tcPr>
          <w:p w14:paraId="42FC0AF4">
            <w:pPr>
              <w:widowControl/>
              <w:adjustRightInd w:val="0"/>
              <w:snapToGrid w:val="0"/>
              <w:rPr>
                <w:rFonts w:hint="default"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恒健资管</w:t>
            </w:r>
          </w:p>
        </w:tc>
        <w:tc>
          <w:tcPr>
            <w:tcW w:w="6093" w:type="dxa"/>
            <w:vAlign w:val="center"/>
          </w:tcPr>
          <w:p w14:paraId="01FDD3FE">
            <w:pPr>
              <w:widowControl/>
              <w:adjustRightInd w:val="0"/>
              <w:snapToGrid w:val="0"/>
              <w:rPr>
                <w:rFonts w:hint="eastAsia" w:ascii="Times New Roman" w:hAnsi="Times New Roman" w:cs="Times New Roman"/>
                <w:sz w:val="24"/>
              </w:rPr>
            </w:pPr>
          </w:p>
          <w:p w14:paraId="2C2291BB">
            <w:pPr>
              <w:widowControl/>
              <w:adjustRightInd w:val="0"/>
              <w:snapToGrid w:val="0"/>
              <w:rPr>
                <w:rFonts w:hint="eastAsia" w:ascii="Times New Roman" w:hAnsi="Times New Roman" w:cs="Times New Roman"/>
                <w:sz w:val="24"/>
              </w:rPr>
            </w:pPr>
            <w:r>
              <w:rPr>
                <w:rFonts w:hint="eastAsia" w:ascii="Times New Roman" w:hAnsi="Times New Roman" w:cs="Times New Roman"/>
                <w:sz w:val="24"/>
              </w:rPr>
              <w:t>恒健资管</w:t>
            </w:r>
            <w:r>
              <w:rPr>
                <w:rFonts w:hint="default" w:ascii="Times New Roman" w:hAnsi="Times New Roman" w:cs="Times New Roman"/>
                <w:sz w:val="24"/>
              </w:rPr>
              <w:t>于</w:t>
            </w:r>
            <w:r>
              <w:rPr>
                <w:rFonts w:hint="eastAsia" w:ascii="Times New Roman" w:hAnsi="Times New Roman" w:cs="Times New Roman"/>
                <w:sz w:val="24"/>
              </w:rPr>
              <w:t>201</w:t>
            </w:r>
            <w:r>
              <w:rPr>
                <w:rFonts w:hint="eastAsia" w:ascii="Times New Roman" w:hAnsi="Times New Roman" w:cs="Times New Roman"/>
                <w:sz w:val="24"/>
                <w:lang w:val="en-US" w:eastAsia="zh-CN"/>
              </w:rPr>
              <w:t>3</w:t>
            </w:r>
            <w:r>
              <w:rPr>
                <w:rFonts w:hint="eastAsia" w:ascii="Times New Roman" w:hAnsi="Times New Roman" w:cs="Times New Roman"/>
                <w:sz w:val="24"/>
              </w:rPr>
              <w:t>年</w:t>
            </w:r>
            <w:r>
              <w:rPr>
                <w:rFonts w:hint="eastAsia" w:ascii="Times New Roman" w:hAnsi="Times New Roman" w:cs="Times New Roman"/>
                <w:sz w:val="24"/>
                <w:lang w:val="en-US" w:eastAsia="zh-CN"/>
              </w:rPr>
              <w:t>11</w:t>
            </w:r>
            <w:r>
              <w:rPr>
                <w:rFonts w:hint="eastAsia" w:ascii="Times New Roman" w:hAnsi="Times New Roman" w:cs="Times New Roman"/>
                <w:sz w:val="24"/>
              </w:rPr>
              <w:t>月</w:t>
            </w:r>
            <w:r>
              <w:rPr>
                <w:rFonts w:hint="eastAsia" w:ascii="Times New Roman" w:hAnsi="Times New Roman" w:cs="Times New Roman"/>
                <w:sz w:val="24"/>
                <w:lang w:val="en-US" w:eastAsia="zh-CN"/>
              </w:rPr>
              <w:t>28</w:t>
            </w:r>
            <w:r>
              <w:rPr>
                <w:rFonts w:hint="eastAsia" w:ascii="Times New Roman" w:hAnsi="Times New Roman" w:cs="Times New Roman"/>
                <w:sz w:val="24"/>
              </w:rPr>
              <w:t>日成立于广东省广州市，主要从事资产管理、投资咨询服务、受托管理股权投资基金、股权投资。</w:t>
            </w:r>
          </w:p>
          <w:p w14:paraId="71230B06">
            <w:pPr>
              <w:widowControl/>
              <w:adjustRightInd w:val="0"/>
              <w:snapToGrid w:val="0"/>
              <w:rPr>
                <w:rFonts w:hint="eastAsia" w:ascii="Times New Roman" w:hAnsi="Times New Roman" w:cs="Times New Roman"/>
                <w:sz w:val="24"/>
              </w:rPr>
            </w:pPr>
            <w:r>
              <w:rPr>
                <w:rFonts w:hint="eastAsia" w:ascii="Times New Roman" w:hAnsi="Times New Roman" w:cs="Times New Roman"/>
                <w:sz w:val="24"/>
              </w:rPr>
              <w:t>恒健资管</w:t>
            </w:r>
            <w:r>
              <w:rPr>
                <w:rFonts w:hint="default" w:ascii="Times New Roman" w:hAnsi="Times New Roman" w:cs="Times New Roman"/>
                <w:sz w:val="24"/>
              </w:rPr>
              <w:t>最终控制人</w:t>
            </w:r>
            <w:r>
              <w:rPr>
                <w:rFonts w:hint="eastAsia" w:ascii="Times New Roman" w:hAnsi="Times New Roman" w:cs="Times New Roman"/>
                <w:sz w:val="24"/>
                <w:lang w:eastAsia="zh-CN"/>
              </w:rPr>
              <w:t>为</w:t>
            </w:r>
            <w:r>
              <w:rPr>
                <w:rFonts w:hint="eastAsia" w:ascii="Times New Roman" w:hAnsi="Times New Roman" w:cs="Times New Roman"/>
                <w:sz w:val="24"/>
              </w:rPr>
              <w:t>广东恒健投资控股有限公司，</w:t>
            </w:r>
            <w:r>
              <w:rPr>
                <w:rFonts w:hint="eastAsia" w:ascii="Times New Roman" w:hAnsi="Times New Roman" w:cs="Times New Roman"/>
                <w:sz w:val="24"/>
                <w:lang w:val="en-US" w:eastAsia="zh-CN"/>
              </w:rPr>
              <w:t>主要从事</w:t>
            </w:r>
            <w:bookmarkStart w:id="0" w:name="_GoBack"/>
            <w:bookmarkEnd w:id="0"/>
            <w:r>
              <w:rPr>
                <w:rFonts w:hint="eastAsia" w:ascii="Times New Roman" w:hAnsi="Times New Roman" w:cs="Times New Roman"/>
                <w:sz w:val="24"/>
                <w:lang w:val="en-US" w:eastAsia="zh-CN"/>
              </w:rPr>
              <w:t>国有资产经营与管理，国有股权经营等。</w:t>
            </w:r>
          </w:p>
          <w:p w14:paraId="3D8794BD">
            <w:pPr>
              <w:widowControl/>
              <w:adjustRightInd w:val="0"/>
              <w:snapToGrid w:val="0"/>
              <w:rPr>
                <w:rFonts w:hint="default" w:ascii="Times New Roman" w:hAnsi="Times New Roman" w:cs="Times New Roman"/>
                <w:sz w:val="24"/>
              </w:rPr>
            </w:pPr>
          </w:p>
        </w:tc>
      </w:tr>
      <w:tr w14:paraId="4706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restart"/>
            <w:shd w:val="clear" w:color="auto" w:fill="auto"/>
            <w:vAlign w:val="center"/>
          </w:tcPr>
          <w:p w14:paraId="5711318B">
            <w:pPr>
              <w:pStyle w:val="3"/>
              <w:widowControl/>
              <w:adjustRightInd w:val="0"/>
              <w:snapToGrid w:val="0"/>
              <w:spacing w:after="0"/>
              <w:jc w:val="center"/>
              <w:rPr>
                <w:b/>
                <w:bCs w:val="0"/>
                <w:color w:val="000000"/>
                <w:szCs w:val="21"/>
              </w:rPr>
            </w:pPr>
            <w:r>
              <w:rPr>
                <w:rFonts w:hint="default" w:ascii="Times New Roman" w:hAnsi="Times New Roman" w:cs="Times New Roman"/>
                <w:b/>
                <w:bCs w:val="0"/>
                <w:color w:val="000000"/>
                <w:sz w:val="24"/>
              </w:rPr>
              <w:t>简易案件理由（可以单选，也可以多选）</w:t>
            </w:r>
          </w:p>
        </w:tc>
        <w:tc>
          <w:tcPr>
            <w:tcW w:w="7984" w:type="dxa"/>
            <w:gridSpan w:val="2"/>
            <w:vAlign w:val="center"/>
          </w:tcPr>
          <w:p w14:paraId="6873F8D5">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FE"/>
            </w:r>
            <w:r>
              <w:rPr>
                <w:rFonts w:hint="default" w:ascii="Times New Roman" w:hAnsi="Times New Roman" w:cs="Times New Roman"/>
                <w:sz w:val="24"/>
              </w:rPr>
              <w:t xml:space="preserve"> 1、在同一相关市场，所有参与集中的经营者所占市场份额之和小于15%。</w:t>
            </w:r>
          </w:p>
        </w:tc>
      </w:tr>
      <w:tr w14:paraId="3C16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continue"/>
            <w:shd w:val="clear" w:color="auto" w:fill="auto"/>
            <w:vAlign w:val="center"/>
          </w:tcPr>
          <w:p w14:paraId="3B0A23A9">
            <w:pPr>
              <w:pStyle w:val="3"/>
              <w:adjustRightInd w:val="0"/>
              <w:snapToGrid w:val="0"/>
              <w:spacing w:after="0"/>
              <w:jc w:val="center"/>
              <w:rPr>
                <w:b/>
                <w:bCs w:val="0"/>
                <w:color w:val="000000"/>
                <w:szCs w:val="21"/>
              </w:rPr>
            </w:pPr>
          </w:p>
        </w:tc>
        <w:tc>
          <w:tcPr>
            <w:tcW w:w="7984" w:type="dxa"/>
            <w:gridSpan w:val="2"/>
            <w:vAlign w:val="center"/>
          </w:tcPr>
          <w:p w14:paraId="3D842262">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A8"/>
            </w:r>
            <w:r>
              <w:rPr>
                <w:rFonts w:hint="default" w:ascii="Times New Roman" w:hAnsi="Times New Roman" w:cs="Times New Roman"/>
                <w:sz w:val="24"/>
              </w:rPr>
              <w:t xml:space="preserve"> 2、存在上下游关系的参与集中的经营者，在上下游市场所占的市场份额均小于25%。</w:t>
            </w:r>
          </w:p>
        </w:tc>
      </w:tr>
      <w:tr w14:paraId="712C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continue"/>
            <w:shd w:val="clear" w:color="auto" w:fill="auto"/>
            <w:vAlign w:val="center"/>
          </w:tcPr>
          <w:p w14:paraId="140B03C3">
            <w:pPr>
              <w:pStyle w:val="3"/>
              <w:adjustRightInd w:val="0"/>
              <w:snapToGrid w:val="0"/>
              <w:spacing w:after="0"/>
              <w:jc w:val="center"/>
              <w:rPr>
                <w:b/>
                <w:bCs w:val="0"/>
                <w:color w:val="000000"/>
                <w:szCs w:val="21"/>
              </w:rPr>
            </w:pPr>
          </w:p>
        </w:tc>
        <w:tc>
          <w:tcPr>
            <w:tcW w:w="7984" w:type="dxa"/>
            <w:gridSpan w:val="2"/>
            <w:vAlign w:val="center"/>
          </w:tcPr>
          <w:p w14:paraId="53DD7D9A">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A8"/>
            </w:r>
            <w:r>
              <w:rPr>
                <w:rFonts w:hint="default" w:ascii="Times New Roman" w:hAnsi="Times New Roman" w:cs="Times New Roman"/>
                <w:sz w:val="24"/>
              </w:rPr>
              <w:t xml:space="preserve"> 3、不在同一相关市场、也不存在上下游关系的参与集中的经营者，在与交易有关的每个市场所占的份额均小于25%。</w:t>
            </w:r>
          </w:p>
        </w:tc>
      </w:tr>
      <w:tr w14:paraId="1CF8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continue"/>
            <w:shd w:val="clear" w:color="auto" w:fill="auto"/>
            <w:vAlign w:val="center"/>
          </w:tcPr>
          <w:p w14:paraId="6DBE2C7D">
            <w:pPr>
              <w:pStyle w:val="3"/>
              <w:adjustRightInd w:val="0"/>
              <w:snapToGrid w:val="0"/>
              <w:spacing w:after="0"/>
              <w:jc w:val="center"/>
              <w:rPr>
                <w:b/>
                <w:bCs w:val="0"/>
                <w:color w:val="000000"/>
                <w:szCs w:val="21"/>
              </w:rPr>
            </w:pPr>
          </w:p>
        </w:tc>
        <w:tc>
          <w:tcPr>
            <w:tcW w:w="7984" w:type="dxa"/>
            <w:gridSpan w:val="2"/>
            <w:vAlign w:val="center"/>
          </w:tcPr>
          <w:p w14:paraId="77E29EF1">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A8"/>
            </w:r>
            <w:r>
              <w:rPr>
                <w:rFonts w:hint="default" w:ascii="Times New Roman" w:hAnsi="Times New Roman" w:cs="Times New Roman"/>
                <w:sz w:val="24"/>
              </w:rPr>
              <w:t xml:space="preserve"> 4、参与集中的经营者在中国境外设立合营企业，合营企业不在中国境内从事经济活动。</w:t>
            </w:r>
          </w:p>
        </w:tc>
      </w:tr>
      <w:tr w14:paraId="37FC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continue"/>
            <w:shd w:val="clear" w:color="auto" w:fill="auto"/>
            <w:vAlign w:val="center"/>
          </w:tcPr>
          <w:p w14:paraId="7DC276FE">
            <w:pPr>
              <w:pStyle w:val="3"/>
              <w:adjustRightInd w:val="0"/>
              <w:snapToGrid w:val="0"/>
              <w:spacing w:after="0"/>
              <w:jc w:val="center"/>
              <w:rPr>
                <w:b/>
                <w:bCs w:val="0"/>
                <w:color w:val="000000"/>
                <w:szCs w:val="21"/>
              </w:rPr>
            </w:pPr>
          </w:p>
        </w:tc>
        <w:tc>
          <w:tcPr>
            <w:tcW w:w="7984" w:type="dxa"/>
            <w:gridSpan w:val="2"/>
            <w:vAlign w:val="center"/>
          </w:tcPr>
          <w:p w14:paraId="76F63433">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A8"/>
            </w:r>
            <w:r>
              <w:rPr>
                <w:rFonts w:hint="default" w:ascii="Times New Roman" w:hAnsi="Times New Roman" w:cs="Times New Roman"/>
                <w:sz w:val="24"/>
              </w:rPr>
              <w:t xml:space="preserve"> 5、参与集中的经营者收购境外企业股权或资产的，该境外企业不在中国境内从事经济活动。</w:t>
            </w:r>
          </w:p>
        </w:tc>
      </w:tr>
      <w:tr w14:paraId="4742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656" w:type="dxa"/>
            <w:vMerge w:val="continue"/>
            <w:shd w:val="clear" w:color="auto" w:fill="auto"/>
            <w:vAlign w:val="center"/>
          </w:tcPr>
          <w:p w14:paraId="217A699D">
            <w:pPr>
              <w:pStyle w:val="3"/>
              <w:adjustRightInd w:val="0"/>
              <w:snapToGrid w:val="0"/>
              <w:spacing w:after="0"/>
              <w:jc w:val="center"/>
              <w:rPr>
                <w:b/>
                <w:bCs w:val="0"/>
                <w:color w:val="000000"/>
                <w:szCs w:val="21"/>
              </w:rPr>
            </w:pPr>
          </w:p>
        </w:tc>
        <w:tc>
          <w:tcPr>
            <w:tcW w:w="7984" w:type="dxa"/>
            <w:gridSpan w:val="2"/>
            <w:vAlign w:val="center"/>
          </w:tcPr>
          <w:p w14:paraId="00370AD4">
            <w:pPr>
              <w:widowControl/>
              <w:adjustRightInd w:val="0"/>
              <w:snapToGrid w:val="0"/>
              <w:rPr>
                <w:rFonts w:hint="default" w:ascii="Times New Roman" w:hAnsi="Times New Roman" w:cs="Times New Roman"/>
                <w:sz w:val="24"/>
              </w:rPr>
            </w:pPr>
            <w:r>
              <w:rPr>
                <w:rFonts w:hint="default" w:ascii="Times New Roman" w:hAnsi="Times New Roman" w:cs="Times New Roman"/>
                <w:sz w:val="24"/>
              </w:rPr>
              <w:sym w:font="Wingdings" w:char="00A8"/>
            </w:r>
            <w:r>
              <w:rPr>
                <w:rFonts w:hint="default" w:ascii="Times New Roman" w:hAnsi="Times New Roman" w:cs="Times New Roman"/>
                <w:sz w:val="24"/>
              </w:rPr>
              <w:t xml:space="preserve"> 6、由两个以上的经营者共同控制的合营企业，通过集中被其中一个或一个以上经营者控制。</w:t>
            </w:r>
          </w:p>
        </w:tc>
      </w:tr>
      <w:tr w14:paraId="09D7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1656" w:type="dxa"/>
            <w:shd w:val="clear" w:color="auto" w:fill="auto"/>
            <w:vAlign w:val="center"/>
          </w:tcPr>
          <w:p w14:paraId="508D0AD8">
            <w:pPr>
              <w:pStyle w:val="3"/>
              <w:widowControl/>
              <w:adjustRightInd w:val="0"/>
              <w:snapToGrid w:val="0"/>
              <w:spacing w:after="0"/>
              <w:jc w:val="center"/>
              <w:rPr>
                <w:b/>
                <w:bCs w:val="0"/>
                <w:color w:val="000000"/>
                <w:szCs w:val="21"/>
              </w:rPr>
            </w:pPr>
            <w:r>
              <w:rPr>
                <w:rFonts w:hint="default" w:ascii="Times New Roman" w:hAnsi="Times New Roman" w:cs="Times New Roman"/>
                <w:b/>
                <w:bCs w:val="0"/>
                <w:color w:val="000000"/>
                <w:sz w:val="24"/>
              </w:rPr>
              <w:t>备注</w:t>
            </w:r>
          </w:p>
        </w:tc>
        <w:tc>
          <w:tcPr>
            <w:tcW w:w="7984" w:type="dxa"/>
            <w:gridSpan w:val="2"/>
            <w:vAlign w:val="center"/>
          </w:tcPr>
          <w:p w14:paraId="13B8F700">
            <w:pPr>
              <w:widowControl/>
              <w:adjustRightInd w:val="0"/>
              <w:snapToGrid w:val="0"/>
              <w:rPr>
                <w:rFonts w:hint="eastAsia" w:ascii="Times New Roman" w:hAnsi="Times New Roman" w:cs="Times New Roman"/>
                <w:b/>
                <w:bCs/>
                <w:sz w:val="24"/>
                <w:lang w:val="en-GB" w:eastAsia="zh-CN"/>
              </w:rPr>
            </w:pPr>
            <w:r>
              <w:rPr>
                <w:rFonts w:hint="eastAsia" w:ascii="Times New Roman" w:hAnsi="Times New Roman" w:cs="Times New Roman"/>
                <w:b/>
                <w:bCs/>
                <w:sz w:val="24"/>
                <w:lang w:val="en-GB" w:eastAsia="zh-CN"/>
              </w:rPr>
              <w:t>横向重叠：</w:t>
            </w:r>
          </w:p>
          <w:p w14:paraId="58A6DC4B">
            <w:pPr>
              <w:widowControl/>
              <w:adjustRightInd w:val="0"/>
              <w:snapToGrid w:val="0"/>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2024年中国</w:t>
            </w:r>
            <w:r>
              <w:rPr>
                <w:rFonts w:hint="default" w:ascii="Times New Roman" w:hAnsi="Times New Roman" w:cs="Times New Roman"/>
                <w:sz w:val="24"/>
                <w:lang w:val="en-US" w:eastAsia="zh-CN"/>
              </w:rPr>
              <w:t>境内私募股权投资基金市</w:t>
            </w:r>
            <w:r>
              <w:rPr>
                <w:rFonts w:hint="eastAsia" w:ascii="Times New Roman" w:hAnsi="Times New Roman" w:cs="Times New Roman"/>
                <w:sz w:val="24"/>
                <w:lang w:val="en-US" w:eastAsia="zh-CN"/>
              </w:rPr>
              <w:t>场:</w:t>
            </w:r>
          </w:p>
          <w:p w14:paraId="2DF2BD84">
            <w:pPr>
              <w:widowControl/>
              <w:adjustRightInd w:val="0"/>
              <w:snapToGrid w:val="0"/>
              <w:rPr>
                <w:rFonts w:hint="eastAsia" w:ascii="Times New Roman" w:hAnsi="Times New Roman" w:cs="Times New Roman"/>
                <w:sz w:val="24"/>
                <w:lang w:val="en-US" w:eastAsia="zh-CN"/>
              </w:rPr>
            </w:pPr>
            <w:r>
              <w:rPr>
                <w:rFonts w:hint="eastAsia" w:ascii="Times New Roman" w:hAnsi="Times New Roman" w:cs="Times New Roman"/>
                <w:sz w:val="24"/>
              </w:rPr>
              <w:t>广晟私募</w:t>
            </w:r>
            <w:r>
              <w:rPr>
                <w:rFonts w:hint="eastAsia" w:ascii="Times New Roman" w:hAnsi="Times New Roman" w:cs="Times New Roman"/>
                <w:sz w:val="24"/>
                <w:lang w:val="en-US" w:eastAsia="zh-CN"/>
              </w:rPr>
              <w:t>：0-5%；</w:t>
            </w:r>
          </w:p>
          <w:p w14:paraId="440B72AC">
            <w:pPr>
              <w:widowControl/>
              <w:adjustRightInd w:val="0"/>
              <w:snapToGrid w:val="0"/>
              <w:rPr>
                <w:rFonts w:hint="eastAsia" w:ascii="Times New Roman" w:hAnsi="Times New Roman" w:cs="Times New Roman"/>
                <w:sz w:val="24"/>
                <w:lang w:val="en-US" w:eastAsia="zh-CN"/>
              </w:rPr>
            </w:pPr>
            <w:r>
              <w:rPr>
                <w:rFonts w:hint="eastAsia" w:ascii="Times New Roman" w:hAnsi="Times New Roman" w:cs="Times New Roman"/>
                <w:sz w:val="24"/>
              </w:rPr>
              <w:t>恒健资管</w:t>
            </w:r>
            <w:r>
              <w:rPr>
                <w:rFonts w:hint="eastAsia" w:ascii="Times New Roman" w:hAnsi="Times New Roman" w:cs="Times New Roman"/>
                <w:sz w:val="24"/>
                <w:lang w:val="en-US" w:eastAsia="zh-CN"/>
              </w:rPr>
              <w:t>：0-5%</w:t>
            </w:r>
          </w:p>
          <w:p w14:paraId="7175C3EA">
            <w:pPr>
              <w:widowControl/>
              <w:adjustRightInd w:val="0"/>
              <w:snapToGrid w:val="0"/>
              <w:rPr>
                <w:rFonts w:hint="default" w:ascii="Times New Roman" w:hAnsi="Times New Roman" w:cs="Times New Roman"/>
                <w:color w:val="auto"/>
                <w:sz w:val="24"/>
                <w:highlight w:val="none"/>
                <w:lang w:val="en-US" w:eastAsia="zh-CN"/>
              </w:rPr>
            </w:pPr>
            <w:r>
              <w:rPr>
                <w:rFonts w:hint="eastAsia" w:ascii="Times New Roman" w:hAnsi="Times New Roman" w:cs="Times New Roman"/>
                <w:color w:val="auto"/>
                <w:sz w:val="24"/>
                <w:highlight w:val="none"/>
                <w:lang w:val="en-US" w:eastAsia="zh-CN"/>
              </w:rPr>
              <w:t>合营企业（预估）：</w:t>
            </w:r>
            <w:r>
              <w:rPr>
                <w:rFonts w:hint="eastAsia" w:cs="Times New Roman"/>
                <w:color w:val="auto"/>
                <w:sz w:val="24"/>
                <w:highlight w:val="none"/>
                <w:lang w:val="en-US" w:eastAsia="zh-CN"/>
              </w:rPr>
              <w:t>0-5%</w:t>
            </w:r>
          </w:p>
          <w:p w14:paraId="1FE5BA81">
            <w:pPr>
              <w:widowControl/>
              <w:adjustRightInd w:val="0"/>
              <w:snapToGrid w:val="0"/>
              <w:rPr>
                <w:rFonts w:hint="default" w:ascii="Times New Roman" w:hAnsi="Times New Roman" w:cs="Times New Roman"/>
                <w:sz w:val="24"/>
              </w:rPr>
            </w:pPr>
            <w:r>
              <w:rPr>
                <w:rFonts w:hint="eastAsia" w:ascii="Times New Roman" w:hAnsi="Times New Roman" w:cs="Times New Roman"/>
                <w:sz w:val="24"/>
                <w:lang w:val="en-US" w:eastAsia="zh-CN"/>
              </w:rPr>
              <w:t>各方合计：0-5%。</w:t>
            </w:r>
          </w:p>
          <w:p w14:paraId="6C7508BC">
            <w:pPr>
              <w:widowControl/>
              <w:adjustRightInd w:val="0"/>
              <w:snapToGrid w:val="0"/>
              <w:rPr>
                <w:rFonts w:hint="default" w:ascii="Times New Roman" w:hAnsi="Times New Roman" w:cs="Times New Roman"/>
                <w:sz w:val="24"/>
              </w:rPr>
            </w:pPr>
          </w:p>
        </w:tc>
      </w:tr>
    </w:tbl>
    <w:p w14:paraId="0B4F460B">
      <w:pPr>
        <w:keepNext w:val="0"/>
        <w:keepLines w:val="0"/>
        <w:pageBreakBefore w:val="0"/>
        <w:widowControl w:val="0"/>
        <w:kinsoku/>
        <w:wordWrap/>
        <w:overflowPunct/>
        <w:topLinePunct w:val="0"/>
        <w:autoSpaceDE/>
        <w:autoSpaceDN/>
        <w:bidi w:val="0"/>
        <w:adjustRightInd/>
        <w:snapToGrid/>
        <w:spacing w:line="20" w:lineRule="exac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jM2VkZWUwYjdkZDYzZGY2NmZiZGNiZGIyMjFjYWIifQ=="/>
  </w:docVars>
  <w:rsids>
    <w:rsidRoot w:val="0CC92ABB"/>
    <w:rsid w:val="00092BA0"/>
    <w:rsid w:val="001C587D"/>
    <w:rsid w:val="001C5EFA"/>
    <w:rsid w:val="001E0AF0"/>
    <w:rsid w:val="00200A01"/>
    <w:rsid w:val="00233102"/>
    <w:rsid w:val="003E1984"/>
    <w:rsid w:val="004E3EF9"/>
    <w:rsid w:val="00525A7B"/>
    <w:rsid w:val="00692F18"/>
    <w:rsid w:val="0098426C"/>
    <w:rsid w:val="00B36A21"/>
    <w:rsid w:val="00B51D4C"/>
    <w:rsid w:val="00D07BBD"/>
    <w:rsid w:val="00D26212"/>
    <w:rsid w:val="00D74386"/>
    <w:rsid w:val="00E001D0"/>
    <w:rsid w:val="00E32D12"/>
    <w:rsid w:val="00E47BC3"/>
    <w:rsid w:val="00FF5A5B"/>
    <w:rsid w:val="09D7804C"/>
    <w:rsid w:val="0CC92ABB"/>
    <w:rsid w:val="0DBA4ED5"/>
    <w:rsid w:val="1546C437"/>
    <w:rsid w:val="2F7E38F4"/>
    <w:rsid w:val="31B95860"/>
    <w:rsid w:val="37E17105"/>
    <w:rsid w:val="3AEA9559"/>
    <w:rsid w:val="3FDFFD5A"/>
    <w:rsid w:val="43F60D2A"/>
    <w:rsid w:val="47FDB40F"/>
    <w:rsid w:val="49E43E8E"/>
    <w:rsid w:val="4DEF69C2"/>
    <w:rsid w:val="4FEFCD67"/>
    <w:rsid w:val="4FF88321"/>
    <w:rsid w:val="557F4A04"/>
    <w:rsid w:val="56CB2F1E"/>
    <w:rsid w:val="5A5D291C"/>
    <w:rsid w:val="5B21FD17"/>
    <w:rsid w:val="5B7B7BB3"/>
    <w:rsid w:val="5CA54E21"/>
    <w:rsid w:val="5FFCE90B"/>
    <w:rsid w:val="5FFD1F74"/>
    <w:rsid w:val="6E7F079E"/>
    <w:rsid w:val="6FF3B654"/>
    <w:rsid w:val="6FFB509C"/>
    <w:rsid w:val="76EDA194"/>
    <w:rsid w:val="77DEB2CB"/>
    <w:rsid w:val="77FF11DE"/>
    <w:rsid w:val="7ABD724D"/>
    <w:rsid w:val="7BCB1D14"/>
    <w:rsid w:val="7DF705FA"/>
    <w:rsid w:val="7EFFCAEF"/>
    <w:rsid w:val="7F2BE8CA"/>
    <w:rsid w:val="932F792D"/>
    <w:rsid w:val="9B2FAC28"/>
    <w:rsid w:val="9FF3BB87"/>
    <w:rsid w:val="AFD49E5C"/>
    <w:rsid w:val="BB5FE606"/>
    <w:rsid w:val="BBEECBA4"/>
    <w:rsid w:val="BCED0FD5"/>
    <w:rsid w:val="BF8DA1B1"/>
    <w:rsid w:val="CDEC95E3"/>
    <w:rsid w:val="DB395B81"/>
    <w:rsid w:val="DEDF6BA0"/>
    <w:rsid w:val="DEED1A9A"/>
    <w:rsid w:val="DF3F2B8B"/>
    <w:rsid w:val="E3FE1D65"/>
    <w:rsid w:val="E5FDF5FD"/>
    <w:rsid w:val="EDF206FC"/>
    <w:rsid w:val="EDFEB489"/>
    <w:rsid w:val="EFE72FCE"/>
    <w:rsid w:val="EFF7E85F"/>
    <w:rsid w:val="EFFAA0BC"/>
    <w:rsid w:val="EFFF10B4"/>
    <w:rsid w:val="F27F5940"/>
    <w:rsid w:val="F53D71DD"/>
    <w:rsid w:val="F5CD5631"/>
    <w:rsid w:val="F5DEE16D"/>
    <w:rsid w:val="F76FD506"/>
    <w:rsid w:val="F7CB4934"/>
    <w:rsid w:val="F8F310B1"/>
    <w:rsid w:val="FBBDBB69"/>
    <w:rsid w:val="FBBEBAD4"/>
    <w:rsid w:val="FEBF0E93"/>
    <w:rsid w:val="FEBF780A"/>
    <w:rsid w:val="FEFA4855"/>
    <w:rsid w:val="FF0F1AEF"/>
    <w:rsid w:val="FF3F255F"/>
    <w:rsid w:val="FF6F998C"/>
    <w:rsid w:val="FFB33E79"/>
    <w:rsid w:val="FFB37D5A"/>
    <w:rsid w:val="FFC6B610"/>
    <w:rsid w:val="FFD73B20"/>
    <w:rsid w:val="FFFED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unhideWhenUsed/>
    <w:qFormat/>
    <w:uiPriority w:val="1"/>
    <w:pPr>
      <w:spacing w:after="120"/>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First Indent"/>
    <w:basedOn w:val="3"/>
    <w:qFormat/>
    <w:uiPriority w:val="0"/>
    <w:pPr>
      <w:ind w:firstLine="420" w:firstLineChars="100"/>
    </w:pPr>
  </w:style>
  <w:style w:type="character" w:customStyle="1" w:styleId="9">
    <w:name w:val="页眉 字符"/>
    <w:basedOn w:val="8"/>
    <w:link w:val="5"/>
    <w:qFormat/>
    <w:uiPriority w:val="0"/>
    <w:rPr>
      <w:rFonts w:ascii="Times New Roman" w:hAnsi="Times New Roman" w:eastAsia="宋体" w:cs="Times New Roman"/>
      <w:kern w:val="2"/>
      <w:sz w:val="18"/>
      <w:szCs w:val="18"/>
    </w:rPr>
  </w:style>
  <w:style w:type="character" w:customStyle="1" w:styleId="10">
    <w:name w:val="页脚 字符"/>
    <w:basedOn w:val="8"/>
    <w:link w:val="4"/>
    <w:qFormat/>
    <w:uiPriority w:val="0"/>
    <w:rPr>
      <w:rFonts w:ascii="Times New Roman" w:hAnsi="Times New Roman" w:eastAsia="宋体" w:cs="Times New Roman"/>
      <w:kern w:val="2"/>
      <w:sz w:val="18"/>
      <w:szCs w:val="18"/>
    </w:rPr>
  </w:style>
  <w:style w:type="table" w:customStyle="1" w:styleId="11">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省市场监督管理局</Company>
  <Pages>1</Pages>
  <Words>729</Words>
  <Characters>765</Characters>
  <Lines>29</Lines>
  <Paragraphs>28</Paragraphs>
  <TotalTime>0</TotalTime>
  <ScaleCrop>false</ScaleCrop>
  <LinksUpToDate>false</LinksUpToDate>
  <CharactersWithSpaces>772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2024-10-16T00:37:00Z</dcterms:created>
  <dc:creator>Zhang, Yutong3</dc:creator>
  <cp:lastModifiedBy>汗青</cp:lastModifiedBy>
  <dcterms:modified xsi:type="dcterms:W3CDTF">2025-11-14T07:52:50Z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1E362CDB009B42488E7EA911E530B8E7_13</vt:lpwstr>
  </property>
  <property fmtid="{D5CDD505-2E9C-101B-9397-08002B2CF9AE}" pid="4" name="KSOTemplateDocerSaveRecord">
    <vt:lpwstr>eyJoZGlkIjoiNDQzMGY5ZWI0OWM3ZDY2ZDVhMWJmNzNkNjA0OTkyOWYiLCJ1c2VySWQiOiIzNzgxNDI0MDcifQ==</vt:lpwstr>
  </property>
</Properties>
</file>