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9E0653">
      <w:pPr>
        <w:keepNext w:val="0"/>
        <w:keepLines w:val="0"/>
        <w:widowControl/>
        <w:suppressLineNumbers w:val="0"/>
        <w:spacing w:before="0" w:beforeAutospacing="0" w:after="240" w:afterAutospacing="0"/>
        <w:ind w:left="0" w:right="0"/>
        <w:jc w:val="center"/>
        <w:rPr>
          <w:rFonts w:hint="eastAsia" w:ascii="方正小标宋简体" w:hAnsi="方正小标宋简体" w:eastAsia="方正小标宋简体" w:cs="方正小标宋简体"/>
          <w:kern w:val="0"/>
          <w:sz w:val="44"/>
          <w:szCs w:val="44"/>
          <w:lang w:val="en-GB" w:eastAsia="zh-CN" w:bidi="ar"/>
        </w:rPr>
      </w:pPr>
      <w:r>
        <w:rPr>
          <w:rFonts w:hint="eastAsia" w:ascii="方正小标宋简体" w:hAnsi="方正小标宋简体" w:eastAsia="方正小标宋简体" w:cs="方正小标宋简体"/>
          <w:kern w:val="0"/>
          <w:sz w:val="44"/>
          <w:szCs w:val="44"/>
          <w:lang w:val="en-GB" w:eastAsia="zh-CN" w:bidi="ar"/>
        </w:rPr>
        <w:t>经营者集中简易案件公示表</w:t>
      </w:r>
    </w:p>
    <w:tbl>
      <w:tblPr>
        <w:tblStyle w:val="3"/>
        <w:tblW w:w="9640"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476"/>
        <w:gridCol w:w="6224"/>
      </w:tblGrid>
      <w:tr w14:paraId="57DF3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1940" w:type="dxa"/>
            <w:shd w:val="clear" w:color="auto" w:fill="D9D9D9"/>
            <w:vAlign w:val="center"/>
          </w:tcPr>
          <w:p w14:paraId="1B0B3580">
            <w:pPr>
              <w:pStyle w:val="2"/>
              <w:widowControl/>
              <w:adjustRightInd w:val="0"/>
              <w:snapToGrid w:val="0"/>
              <w:spacing w:after="0"/>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案件名称</w:t>
            </w:r>
          </w:p>
        </w:tc>
        <w:tc>
          <w:tcPr>
            <w:tcW w:w="7700" w:type="dxa"/>
            <w:gridSpan w:val="2"/>
            <w:vAlign w:val="center"/>
          </w:tcPr>
          <w:p w14:paraId="31957898">
            <w:pPr>
              <w:widowControl/>
              <w:adjustRightInd w:val="0"/>
              <w:snapToGrid w:val="0"/>
              <w:rPr>
                <w:rFonts w:hint="default" w:ascii="Times New Roman" w:hAnsi="Times New Roman" w:cs="Times New Roman"/>
                <w:bCs/>
                <w:color w:val="000000"/>
                <w:sz w:val="24"/>
              </w:rPr>
            </w:pPr>
            <w:r>
              <w:rPr>
                <w:rFonts w:hint="default" w:ascii="Times New Roman" w:hAnsi="Times New Roman" w:cs="Times New Roman"/>
                <w:sz w:val="24"/>
              </w:rPr>
              <w:t>佛山市创新投股权投资有限公司与南方电网产融控股集团有限公司等经营者新设合营企业案</w:t>
            </w:r>
          </w:p>
        </w:tc>
      </w:tr>
      <w:tr w14:paraId="23730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1940" w:type="dxa"/>
            <w:shd w:val="clear" w:color="auto" w:fill="D9D9D9"/>
            <w:vAlign w:val="center"/>
          </w:tcPr>
          <w:p w14:paraId="6F9BC65B">
            <w:pPr>
              <w:pStyle w:val="2"/>
              <w:widowControl/>
              <w:adjustRightInd w:val="0"/>
              <w:snapToGrid w:val="0"/>
              <w:spacing w:after="0"/>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交易概况（限200字内）</w:t>
            </w:r>
          </w:p>
        </w:tc>
        <w:tc>
          <w:tcPr>
            <w:tcW w:w="7700" w:type="dxa"/>
            <w:gridSpan w:val="2"/>
            <w:vAlign w:val="center"/>
          </w:tcPr>
          <w:p w14:paraId="071B9EE1">
            <w:pPr>
              <w:widowControl/>
              <w:adjustRightInd w:val="0"/>
              <w:snapToGrid w:val="0"/>
              <w:rPr>
                <w:rFonts w:hint="default" w:ascii="Times New Roman" w:hAnsi="Times New Roman" w:cs="Times New Roman"/>
                <w:sz w:val="24"/>
              </w:rPr>
            </w:pPr>
            <w:r>
              <w:rPr>
                <w:rFonts w:hint="default" w:ascii="Times New Roman" w:hAnsi="Times New Roman" w:cs="Times New Roman"/>
                <w:sz w:val="24"/>
              </w:rPr>
              <w:t>佛山市创新投股权投资有限公司（“佛山创新投”）与南方电网产融控股集团有限公司（“南网控股”）、佛山市高明发展投资建设集团有限公司（“高明发展”）等签署协议，拟共同出资新设一家合营企业。合营企业主要从事私募股权投资基金业务。交易后，佛山创新投（及其子公司）、南网控股（及其子公司）与高明发展将分别持有合营企业50%、30%、20%的份额，共同控制合营企业。</w:t>
            </w:r>
          </w:p>
        </w:tc>
      </w:tr>
      <w:tr w14:paraId="5CD27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restart"/>
            <w:shd w:val="clear" w:color="auto" w:fill="D9D9D9"/>
            <w:vAlign w:val="center"/>
          </w:tcPr>
          <w:p w14:paraId="3B95DC8F">
            <w:pPr>
              <w:pStyle w:val="2"/>
              <w:widowControl/>
              <w:adjustRightInd w:val="0"/>
              <w:snapToGrid w:val="0"/>
              <w:spacing w:after="0"/>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参与集中的经营者简介（每个限100字内）</w:t>
            </w:r>
          </w:p>
        </w:tc>
        <w:tc>
          <w:tcPr>
            <w:tcW w:w="1476" w:type="dxa"/>
            <w:vAlign w:val="center"/>
          </w:tcPr>
          <w:p w14:paraId="032553A1">
            <w:pPr>
              <w:pStyle w:val="2"/>
              <w:widowControl/>
              <w:adjustRightInd w:val="0"/>
              <w:snapToGrid w:val="0"/>
              <w:spacing w:after="0"/>
              <w:rPr>
                <w:rFonts w:hint="default" w:ascii="Times New Roman" w:hAnsi="Times New Roman" w:eastAsia="宋体" w:cs="Times New Roman"/>
                <w:bCs/>
                <w:color w:val="000000"/>
                <w:sz w:val="24"/>
                <w:lang w:val="en-US" w:eastAsia="zh-CN"/>
              </w:rPr>
            </w:pPr>
            <w:r>
              <w:rPr>
                <w:rFonts w:hint="default" w:ascii="Times New Roman" w:hAnsi="Times New Roman" w:cs="Times New Roman"/>
                <w:bCs/>
                <w:color w:val="000000"/>
                <w:sz w:val="24"/>
                <w:lang w:val="en-US" w:eastAsia="zh-CN"/>
              </w:rPr>
              <w:t>1</w:t>
            </w:r>
            <w:r>
              <w:rPr>
                <w:rFonts w:hint="default" w:ascii="Times New Roman" w:hAnsi="Times New Roman" w:cs="Times New Roman"/>
                <w:bCs/>
                <w:color w:val="000000"/>
                <w:sz w:val="24"/>
              </w:rPr>
              <w:t>.</w:t>
            </w:r>
            <w:r>
              <w:rPr>
                <w:rFonts w:hint="eastAsia" w:cs="Times New Roman"/>
                <w:bCs/>
                <w:color w:val="000000"/>
                <w:sz w:val="24"/>
                <w:lang w:val="en-US" w:eastAsia="zh-CN"/>
              </w:rPr>
              <w:t>佛山创新投</w:t>
            </w:r>
          </w:p>
        </w:tc>
        <w:tc>
          <w:tcPr>
            <w:tcW w:w="6224" w:type="dxa"/>
            <w:vAlign w:val="center"/>
          </w:tcPr>
          <w:p w14:paraId="019DD06F">
            <w:pPr>
              <w:pStyle w:val="2"/>
              <w:widowControl/>
              <w:adjustRightInd w:val="0"/>
              <w:snapToGrid w:val="0"/>
              <w:spacing w:after="0"/>
              <w:rPr>
                <w:rFonts w:hint="default" w:ascii="Times New Roman" w:hAnsi="Times New Roman" w:cs="Times New Roman"/>
                <w:sz w:val="24"/>
              </w:rPr>
            </w:pPr>
            <w:r>
              <w:rPr>
                <w:rFonts w:hint="default" w:ascii="Times New Roman" w:hAnsi="Times New Roman" w:cs="Times New Roman"/>
                <w:sz w:val="24"/>
              </w:rPr>
              <w:t>佛山创新投于2021年9月1日成立于广东省佛山市，主要从事以自有资金从事投资活动。</w:t>
            </w:r>
          </w:p>
          <w:p w14:paraId="55DA3F22">
            <w:pPr>
              <w:pStyle w:val="2"/>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sz w:val="24"/>
              </w:rPr>
              <w:t>佛山创新投最终控制人为佛山市投资控股集团有限公司，主要从事公用事业的投资、建设和运营，高新技术、基础设施、新兴产业等项目的投资和管理。</w:t>
            </w:r>
          </w:p>
        </w:tc>
      </w:tr>
      <w:tr w14:paraId="25BF6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continue"/>
            <w:shd w:val="clear" w:color="auto" w:fill="D9D9D9"/>
            <w:vAlign w:val="center"/>
          </w:tcPr>
          <w:p w14:paraId="3EDB8FED">
            <w:pPr>
              <w:pStyle w:val="2"/>
              <w:widowControl/>
              <w:adjustRightInd w:val="0"/>
              <w:snapToGrid w:val="0"/>
              <w:spacing w:after="0"/>
              <w:jc w:val="center"/>
              <w:rPr>
                <w:rFonts w:hint="default" w:ascii="Times New Roman" w:hAnsi="Times New Roman" w:cs="Times New Roman"/>
                <w:bCs/>
                <w:color w:val="000000"/>
                <w:sz w:val="24"/>
              </w:rPr>
            </w:pPr>
          </w:p>
        </w:tc>
        <w:tc>
          <w:tcPr>
            <w:tcW w:w="1476" w:type="dxa"/>
            <w:vAlign w:val="center"/>
          </w:tcPr>
          <w:p w14:paraId="05BEB369">
            <w:pPr>
              <w:pStyle w:val="2"/>
              <w:widowControl/>
              <w:adjustRightInd w:val="0"/>
              <w:snapToGrid w:val="0"/>
              <w:spacing w:after="0"/>
              <w:rPr>
                <w:rFonts w:hint="default" w:ascii="Times New Roman" w:hAnsi="Times New Roman" w:cs="Times New Roman"/>
                <w:bCs/>
                <w:color w:val="000000"/>
                <w:sz w:val="24"/>
                <w:lang w:val="en-US" w:eastAsia="zh-CN"/>
              </w:rPr>
            </w:pPr>
            <w:r>
              <w:rPr>
                <w:rFonts w:hint="default" w:ascii="Times New Roman" w:hAnsi="Times New Roman" w:cs="Times New Roman"/>
                <w:bCs/>
                <w:color w:val="000000"/>
                <w:sz w:val="24"/>
                <w:lang w:val="en-US" w:eastAsia="zh-CN"/>
              </w:rPr>
              <w:t>2.</w:t>
            </w:r>
            <w:r>
              <w:rPr>
                <w:rFonts w:hint="eastAsia" w:cs="Times New Roman"/>
                <w:bCs/>
                <w:color w:val="000000"/>
                <w:sz w:val="24"/>
                <w:lang w:val="en-US" w:eastAsia="zh-CN"/>
              </w:rPr>
              <w:t>南网控股</w:t>
            </w:r>
          </w:p>
        </w:tc>
        <w:tc>
          <w:tcPr>
            <w:tcW w:w="6224" w:type="dxa"/>
            <w:vAlign w:val="center"/>
          </w:tcPr>
          <w:p w14:paraId="4EA18C97">
            <w:pPr>
              <w:pStyle w:val="2"/>
              <w:widowControl/>
              <w:adjustRightInd w:val="0"/>
              <w:snapToGrid w:val="0"/>
              <w:spacing w:after="0"/>
              <w:rPr>
                <w:rFonts w:hint="default" w:ascii="Times New Roman" w:hAnsi="Times New Roman" w:cs="Times New Roman"/>
                <w:sz w:val="24"/>
              </w:rPr>
            </w:pPr>
            <w:r>
              <w:rPr>
                <w:rFonts w:hint="default" w:ascii="Times New Roman" w:hAnsi="Times New Roman" w:cs="Times New Roman"/>
                <w:sz w:val="24"/>
              </w:rPr>
              <w:t>南网控股于2017年4月21日成立于广东省广州市，主要业务为股权投资，实业投资，投资管理。</w:t>
            </w:r>
          </w:p>
          <w:p w14:paraId="7139A961">
            <w:pPr>
              <w:pStyle w:val="2"/>
              <w:widowControl/>
              <w:adjustRightInd w:val="0"/>
              <w:snapToGrid w:val="0"/>
              <w:spacing w:after="0"/>
              <w:rPr>
                <w:rFonts w:hint="default" w:ascii="Times New Roman" w:hAnsi="Times New Roman" w:cs="Times New Roman"/>
                <w:sz w:val="24"/>
              </w:rPr>
            </w:pPr>
            <w:r>
              <w:rPr>
                <w:rFonts w:hint="default" w:ascii="Times New Roman" w:hAnsi="Times New Roman" w:cs="Times New Roman"/>
                <w:sz w:val="24"/>
              </w:rPr>
              <w:t>南网控股最终控制人为中国南方电网有限责任公司，主要从事广东、广西、云南、贵州、海南南方五省区电力供应、区域电网管理、电力交易与调度业务等。</w:t>
            </w:r>
          </w:p>
        </w:tc>
      </w:tr>
      <w:tr w14:paraId="317BC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continue"/>
            <w:shd w:val="clear" w:color="auto" w:fill="D9D9D9"/>
            <w:vAlign w:val="center"/>
          </w:tcPr>
          <w:p w14:paraId="63C675C1">
            <w:pPr>
              <w:pStyle w:val="2"/>
              <w:widowControl/>
              <w:adjustRightInd w:val="0"/>
              <w:snapToGrid w:val="0"/>
              <w:spacing w:after="0"/>
              <w:jc w:val="center"/>
              <w:rPr>
                <w:rFonts w:hint="default" w:ascii="Times New Roman" w:hAnsi="Times New Roman" w:cs="Times New Roman"/>
                <w:bCs/>
                <w:color w:val="000000"/>
                <w:sz w:val="24"/>
              </w:rPr>
            </w:pPr>
          </w:p>
        </w:tc>
        <w:tc>
          <w:tcPr>
            <w:tcW w:w="1476" w:type="dxa"/>
            <w:vAlign w:val="center"/>
          </w:tcPr>
          <w:p w14:paraId="31F11D64">
            <w:pPr>
              <w:pStyle w:val="2"/>
              <w:widowControl/>
              <w:adjustRightInd w:val="0"/>
              <w:snapToGrid w:val="0"/>
              <w:spacing w:after="0"/>
              <w:rPr>
                <w:rFonts w:hint="default" w:ascii="Times New Roman" w:hAnsi="Times New Roman" w:cs="Times New Roman"/>
                <w:bCs/>
                <w:color w:val="000000"/>
                <w:sz w:val="24"/>
                <w:lang w:val="en-US" w:eastAsia="zh-CN"/>
              </w:rPr>
            </w:pPr>
            <w:r>
              <w:rPr>
                <w:rFonts w:hint="eastAsia" w:cs="Times New Roman"/>
                <w:bCs/>
                <w:color w:val="000000"/>
                <w:sz w:val="24"/>
                <w:lang w:val="en-US" w:eastAsia="zh-CN"/>
              </w:rPr>
              <w:t>3.高明发展</w:t>
            </w:r>
          </w:p>
        </w:tc>
        <w:tc>
          <w:tcPr>
            <w:tcW w:w="6224" w:type="dxa"/>
            <w:vAlign w:val="center"/>
          </w:tcPr>
          <w:p w14:paraId="6B549D48">
            <w:pPr>
              <w:pStyle w:val="2"/>
              <w:widowControl/>
              <w:adjustRightInd w:val="0"/>
              <w:snapToGrid w:val="0"/>
              <w:spacing w:after="0"/>
              <w:rPr>
                <w:rFonts w:hint="default" w:ascii="Times New Roman" w:hAnsi="Times New Roman" w:cs="Times New Roman"/>
                <w:sz w:val="24"/>
              </w:rPr>
            </w:pPr>
            <w:r>
              <w:rPr>
                <w:rFonts w:hint="default" w:ascii="Times New Roman" w:hAnsi="Times New Roman" w:cs="Times New Roman"/>
                <w:sz w:val="24"/>
              </w:rPr>
              <w:t>高明发展于2013年7月30日成立于广东省佛山市，主要从事产业金融投资、综合地产开发、环保水务与交通能源、基础设施建设。</w:t>
            </w:r>
          </w:p>
          <w:p w14:paraId="5E54F0A6">
            <w:pPr>
              <w:pStyle w:val="2"/>
              <w:widowControl/>
              <w:adjustRightInd w:val="0"/>
              <w:snapToGrid w:val="0"/>
              <w:spacing w:after="0"/>
              <w:rPr>
                <w:rFonts w:hint="default" w:ascii="Times New Roman" w:hAnsi="Times New Roman" w:cs="Times New Roman"/>
                <w:sz w:val="24"/>
              </w:rPr>
            </w:pPr>
            <w:r>
              <w:rPr>
                <w:rFonts w:hint="default" w:ascii="Times New Roman" w:hAnsi="Times New Roman" w:cs="Times New Roman"/>
                <w:sz w:val="24"/>
              </w:rPr>
              <w:t>高明发展为佛山市高明区国有资产监督管理局下属企业。</w:t>
            </w:r>
          </w:p>
        </w:tc>
      </w:tr>
      <w:tr w14:paraId="0A945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940" w:type="dxa"/>
            <w:vMerge w:val="restart"/>
            <w:shd w:val="clear" w:color="auto" w:fill="D9D9D9"/>
            <w:vAlign w:val="center"/>
          </w:tcPr>
          <w:p w14:paraId="62A284C5">
            <w:pPr>
              <w:pStyle w:val="2"/>
              <w:widowControl/>
              <w:adjustRightInd w:val="0"/>
              <w:snapToGrid w:val="0"/>
              <w:spacing w:after="0"/>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简易案件理由（可以单选，也可以多选）</w:t>
            </w:r>
          </w:p>
        </w:tc>
        <w:tc>
          <w:tcPr>
            <w:tcW w:w="7700" w:type="dxa"/>
            <w:gridSpan w:val="2"/>
            <w:vAlign w:val="center"/>
          </w:tcPr>
          <w:p w14:paraId="53858F3D">
            <w:pPr>
              <w:pStyle w:val="2"/>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FE"/>
            </w:r>
            <w:r>
              <w:rPr>
                <w:rFonts w:hint="default" w:ascii="Times New Roman" w:hAnsi="Times New Roman" w:cs="Times New Roman"/>
                <w:bCs/>
                <w:color w:val="000000"/>
                <w:sz w:val="24"/>
              </w:rPr>
              <w:t xml:space="preserve"> 1、在同一相关市场，所有参与集中的经营者所占市场份额之和小于15%。</w:t>
            </w:r>
          </w:p>
        </w:tc>
      </w:tr>
      <w:tr w14:paraId="1BFCB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940" w:type="dxa"/>
            <w:vMerge w:val="continue"/>
            <w:shd w:val="clear" w:color="auto" w:fill="D9D9D9"/>
            <w:vAlign w:val="center"/>
          </w:tcPr>
          <w:p w14:paraId="752D12CA">
            <w:pPr>
              <w:pStyle w:val="2"/>
              <w:widowControl/>
              <w:adjustRightInd w:val="0"/>
              <w:snapToGrid w:val="0"/>
              <w:spacing w:after="0"/>
              <w:jc w:val="center"/>
              <w:rPr>
                <w:rFonts w:hint="default" w:ascii="Times New Roman" w:hAnsi="Times New Roman" w:cs="Times New Roman"/>
                <w:bCs/>
                <w:color w:val="000000"/>
                <w:sz w:val="24"/>
              </w:rPr>
            </w:pPr>
          </w:p>
        </w:tc>
        <w:tc>
          <w:tcPr>
            <w:tcW w:w="7700" w:type="dxa"/>
            <w:gridSpan w:val="2"/>
            <w:vAlign w:val="center"/>
          </w:tcPr>
          <w:p w14:paraId="2073B93B">
            <w:pPr>
              <w:pStyle w:val="2"/>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2、存在上下游关系的参与集中的经营者，在上下游市场所占的市场份额均小于25%。</w:t>
            </w:r>
          </w:p>
        </w:tc>
      </w:tr>
      <w:tr w14:paraId="14382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940" w:type="dxa"/>
            <w:vMerge w:val="continue"/>
            <w:shd w:val="clear" w:color="auto" w:fill="D9D9D9"/>
            <w:vAlign w:val="center"/>
          </w:tcPr>
          <w:p w14:paraId="2BA3023A">
            <w:pPr>
              <w:pStyle w:val="2"/>
              <w:widowControl/>
              <w:adjustRightInd w:val="0"/>
              <w:snapToGrid w:val="0"/>
              <w:spacing w:after="0"/>
              <w:jc w:val="center"/>
              <w:rPr>
                <w:rFonts w:hint="default" w:ascii="Times New Roman" w:hAnsi="Times New Roman" w:cs="Times New Roman"/>
                <w:bCs/>
                <w:color w:val="000000"/>
                <w:sz w:val="24"/>
              </w:rPr>
            </w:pPr>
          </w:p>
        </w:tc>
        <w:tc>
          <w:tcPr>
            <w:tcW w:w="7700" w:type="dxa"/>
            <w:gridSpan w:val="2"/>
            <w:vAlign w:val="center"/>
          </w:tcPr>
          <w:p w14:paraId="48D65A4D">
            <w:pPr>
              <w:pStyle w:val="2"/>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3、不在同一相关市场、也不存在上下游关系的参与集中的经营者，在与交易有关的每个市场所占的份额均小于25%。</w:t>
            </w:r>
          </w:p>
        </w:tc>
      </w:tr>
      <w:tr w14:paraId="77167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1940" w:type="dxa"/>
            <w:vMerge w:val="continue"/>
            <w:shd w:val="clear" w:color="auto" w:fill="D9D9D9"/>
            <w:vAlign w:val="center"/>
          </w:tcPr>
          <w:p w14:paraId="767D535F">
            <w:pPr>
              <w:pStyle w:val="2"/>
              <w:widowControl/>
              <w:adjustRightInd w:val="0"/>
              <w:snapToGrid w:val="0"/>
              <w:spacing w:after="0"/>
              <w:jc w:val="center"/>
              <w:rPr>
                <w:rFonts w:hint="default" w:ascii="Times New Roman" w:hAnsi="Times New Roman" w:cs="Times New Roman"/>
                <w:bCs/>
                <w:color w:val="000000"/>
                <w:sz w:val="24"/>
              </w:rPr>
            </w:pPr>
          </w:p>
        </w:tc>
        <w:tc>
          <w:tcPr>
            <w:tcW w:w="7700" w:type="dxa"/>
            <w:gridSpan w:val="2"/>
            <w:vAlign w:val="center"/>
          </w:tcPr>
          <w:p w14:paraId="00AC105B">
            <w:pPr>
              <w:pStyle w:val="2"/>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4、参与集中的经营者在中国境外设立合营企业，合营企业不在中国境内从事经济活动。</w:t>
            </w:r>
          </w:p>
        </w:tc>
      </w:tr>
      <w:tr w14:paraId="42062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940" w:type="dxa"/>
            <w:vMerge w:val="continue"/>
            <w:shd w:val="clear" w:color="auto" w:fill="D9D9D9"/>
            <w:vAlign w:val="center"/>
          </w:tcPr>
          <w:p w14:paraId="0FCD82DC">
            <w:pPr>
              <w:pStyle w:val="2"/>
              <w:widowControl/>
              <w:adjustRightInd w:val="0"/>
              <w:snapToGrid w:val="0"/>
              <w:spacing w:after="0"/>
              <w:jc w:val="center"/>
              <w:rPr>
                <w:rFonts w:hint="default" w:ascii="Times New Roman" w:hAnsi="Times New Roman" w:cs="Times New Roman"/>
                <w:bCs/>
                <w:color w:val="000000"/>
                <w:sz w:val="24"/>
              </w:rPr>
            </w:pPr>
          </w:p>
        </w:tc>
        <w:tc>
          <w:tcPr>
            <w:tcW w:w="7700" w:type="dxa"/>
            <w:gridSpan w:val="2"/>
            <w:vAlign w:val="center"/>
          </w:tcPr>
          <w:p w14:paraId="506ADC72">
            <w:pPr>
              <w:pStyle w:val="2"/>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5、参与集中的经营者收购境外企业股权或资产的，该境外企业不在中国境内从事经济活动。</w:t>
            </w:r>
          </w:p>
        </w:tc>
      </w:tr>
      <w:tr w14:paraId="5D323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940" w:type="dxa"/>
            <w:vMerge w:val="continue"/>
            <w:shd w:val="clear" w:color="auto" w:fill="D9D9D9"/>
            <w:vAlign w:val="center"/>
          </w:tcPr>
          <w:p w14:paraId="71FCFF52">
            <w:pPr>
              <w:pStyle w:val="2"/>
              <w:widowControl/>
              <w:adjustRightInd w:val="0"/>
              <w:snapToGrid w:val="0"/>
              <w:spacing w:after="0"/>
              <w:jc w:val="center"/>
              <w:rPr>
                <w:rFonts w:hint="default" w:ascii="Times New Roman" w:hAnsi="Times New Roman" w:cs="Times New Roman"/>
                <w:bCs/>
                <w:color w:val="000000"/>
                <w:sz w:val="24"/>
              </w:rPr>
            </w:pPr>
          </w:p>
        </w:tc>
        <w:tc>
          <w:tcPr>
            <w:tcW w:w="7700" w:type="dxa"/>
            <w:gridSpan w:val="2"/>
            <w:vAlign w:val="center"/>
          </w:tcPr>
          <w:p w14:paraId="655AC073">
            <w:pPr>
              <w:pStyle w:val="2"/>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6、由两个以上的经营者共同控制的合营企业，通过集中被其中一个或一个以上经营者控制。</w:t>
            </w:r>
          </w:p>
        </w:tc>
      </w:tr>
      <w:tr w14:paraId="137BD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4" w:hRule="atLeast"/>
        </w:trPr>
        <w:tc>
          <w:tcPr>
            <w:tcW w:w="1940" w:type="dxa"/>
            <w:shd w:val="clear" w:color="auto" w:fill="D9D9D9"/>
            <w:vAlign w:val="center"/>
          </w:tcPr>
          <w:p w14:paraId="452EEC4C">
            <w:pPr>
              <w:pStyle w:val="2"/>
              <w:widowControl/>
              <w:adjustRightInd w:val="0"/>
              <w:snapToGrid w:val="0"/>
              <w:spacing w:after="0"/>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备注</w:t>
            </w:r>
          </w:p>
        </w:tc>
        <w:tc>
          <w:tcPr>
            <w:tcW w:w="7700" w:type="dxa"/>
            <w:gridSpan w:val="2"/>
            <w:vAlign w:val="center"/>
          </w:tcPr>
          <w:p w14:paraId="7F9F4E8C">
            <w:pPr>
              <w:keepNext w:val="0"/>
              <w:keepLines w:val="0"/>
              <w:pageBreakBefore w:val="0"/>
              <w:widowControl w:val="0"/>
              <w:kinsoku/>
              <w:wordWrap/>
              <w:overflowPunct/>
              <w:topLinePunct w:val="0"/>
              <w:autoSpaceDE/>
              <w:autoSpaceDN/>
              <w:bidi w:val="0"/>
              <w:adjustRightInd/>
              <w:snapToGrid/>
              <w:spacing w:line="460" w:lineRule="exact"/>
              <w:textAlignment w:val="auto"/>
              <w:rPr>
                <w:rFonts w:hint="eastAsia"/>
                <w:b/>
                <w:bCs w:val="0"/>
                <w:color w:val="000000" w:themeColor="text1"/>
                <w:kern w:val="0"/>
                <w:sz w:val="24"/>
                <w:lang w:eastAsia="zh-CN"/>
                <w14:textFill>
                  <w14:solidFill>
                    <w14:schemeClr w14:val="tx1"/>
                  </w14:solidFill>
                </w14:textFill>
              </w:rPr>
            </w:pPr>
            <w:r>
              <w:rPr>
                <w:rFonts w:hint="eastAsia"/>
                <w:b/>
                <w:bCs w:val="0"/>
                <w:color w:val="000000" w:themeColor="text1"/>
                <w:kern w:val="0"/>
                <w:sz w:val="24"/>
                <w:lang w:eastAsia="zh-CN"/>
                <w14:textFill>
                  <w14:solidFill>
                    <w14:schemeClr w14:val="tx1"/>
                  </w14:solidFill>
                </w14:textFill>
              </w:rPr>
              <w:t>横向重叠：</w:t>
            </w:r>
          </w:p>
          <w:p w14:paraId="699D111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val="0"/>
                <w:bCs/>
                <w:color w:val="000000" w:themeColor="text1"/>
                <w:kern w:val="0"/>
                <w:sz w:val="24"/>
                <w:lang w:eastAsia="zh-CN"/>
                <w14:textFill>
                  <w14:solidFill>
                    <w14:schemeClr w14:val="tx1"/>
                  </w14:solidFill>
                </w14:textFill>
              </w:rPr>
            </w:pPr>
            <w:r>
              <w:rPr>
                <w:rFonts w:hint="eastAsia"/>
                <w:b w:val="0"/>
                <w:bCs/>
                <w:color w:val="000000" w:themeColor="text1"/>
                <w:kern w:val="0"/>
                <w:sz w:val="24"/>
                <w:lang w:eastAsia="zh-CN"/>
                <w14:textFill>
                  <w14:solidFill>
                    <w14:schemeClr w14:val="tx1"/>
                  </w14:solidFill>
                </w14:textFill>
              </w:rPr>
              <w:t>2024年中国境内私募股权投资基金市场</w:t>
            </w:r>
          </w:p>
          <w:p w14:paraId="5FE93567">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b/>
                <w:bCs w:val="0"/>
                <w:color w:val="000000" w:themeColor="text1"/>
                <w:kern w:val="0"/>
                <w:sz w:val="24"/>
                <w:lang w:val="en-US" w:eastAsia="zh-CN"/>
                <w14:textFill>
                  <w14:solidFill>
                    <w14:schemeClr w14:val="tx1"/>
                  </w14:solidFill>
                </w14:textFill>
              </w:rPr>
            </w:pPr>
            <w:r>
              <w:rPr>
                <w:rFonts w:hint="eastAsia"/>
                <w:b w:val="0"/>
                <w:bCs/>
                <w:color w:val="000000" w:themeColor="text1"/>
                <w:kern w:val="0"/>
                <w:sz w:val="24"/>
                <w:lang w:eastAsia="zh-CN"/>
                <w14:textFill>
                  <w14:solidFill>
                    <w14:schemeClr w14:val="tx1"/>
                  </w14:solidFill>
                </w14:textFill>
              </w:rPr>
              <w:t>佛山创新投：0-5%，南网控股：0-5%，高明发展：0-5%，合营企业（预估）：0-5%，各方合计：0-5%</w:t>
            </w:r>
          </w:p>
        </w:tc>
      </w:tr>
    </w:tbl>
    <w:p w14:paraId="68F8F361">
      <w:bookmarkStart w:id="0" w:name="_GoBack"/>
      <w:bookmarkEnd w:id="0"/>
    </w:p>
    <w:sectPr>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201060103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DF2A74"/>
    <w:rsid w:val="46CF48BB"/>
    <w:rsid w:val="46DF2A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unhideWhenUsed/>
    <w:qFormat/>
    <w:uiPriority w:val="99"/>
    <w:pPr>
      <w:spacing w:after="12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省市场监督管理局</Company>
  <Pages>2</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2025-12-03T02:44:00Z</dcterms:created>
  <dc:creator>王雪娇</dc:creator>
  <cp:lastModifiedBy>王雪娇</cp:lastModifiedBy>
  <dcterms:modified xsi:type="dcterms:W3CDTF">2025-12-03T02:47:07Z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9ABFD7F28BFD4415A09A2C4FCB95ABC8_11</vt:lpwstr>
  </property>
  <property fmtid="{D5CDD505-2E9C-101B-9397-08002B2CF9AE}" pid="4" name="KSOTemplateDocerSaveRecord">
    <vt:lpwstr>eyJoZGlkIjoiODNjM2VkZWUwYjdkZDYzZGY2NmZiZGNiZGIyMjFjYWIiLCJ1c2VySWQiOiIxMjE0ODEzMDc5In0=</vt:lpwstr>
  </property>
</Properties>
</file>