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DAA84">
      <w:pPr>
        <w:widowControl/>
        <w:spacing w:after="240"/>
        <w:jc w:val="center"/>
        <w:rPr>
          <w:rFonts w:hint="eastAsia" w:ascii="方正小标宋简体" w:hAnsi="方正小标宋简体" w:eastAsia="方正小标宋简体" w:cs="方正小标宋简体"/>
          <w:kern w:val="0"/>
          <w:sz w:val="44"/>
          <w:szCs w:val="44"/>
          <w:lang w:val="en-GB" w:bidi="ar"/>
        </w:rPr>
      </w:pPr>
      <w:r>
        <w:rPr>
          <w:rFonts w:hint="eastAsia" w:ascii="方正小标宋简体" w:hAnsi="方正小标宋简体" w:eastAsia="方正小标宋简体" w:cs="方正小标宋简体"/>
          <w:kern w:val="0"/>
          <w:sz w:val="44"/>
          <w:szCs w:val="44"/>
          <w:lang w:val="en-GB" w:bidi="ar"/>
        </w:rPr>
        <w:t>经营者集中简易案件公示表</w:t>
      </w:r>
    </w:p>
    <w:tbl>
      <w:tblPr>
        <w:tblStyle w:val="3"/>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67DB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5F59472C">
            <w:pPr>
              <w:pStyle w:val="2"/>
              <w:widowControl/>
              <w:adjustRightInd w:val="0"/>
              <w:snapToGrid w:val="0"/>
              <w:spacing w:after="0"/>
              <w:jc w:val="center"/>
              <w:rPr>
                <w:bCs/>
                <w:color w:val="000000"/>
                <w:sz w:val="24"/>
              </w:rPr>
            </w:pPr>
            <w:r>
              <w:rPr>
                <w:bCs/>
                <w:color w:val="000000"/>
                <w:sz w:val="24"/>
              </w:rPr>
              <w:t>案件名称</w:t>
            </w:r>
          </w:p>
        </w:tc>
        <w:tc>
          <w:tcPr>
            <w:tcW w:w="7700" w:type="dxa"/>
            <w:gridSpan w:val="2"/>
            <w:vAlign w:val="center"/>
          </w:tcPr>
          <w:p w14:paraId="4AB72EB6">
            <w:pPr>
              <w:widowControl/>
              <w:adjustRightInd w:val="0"/>
              <w:snapToGrid w:val="0"/>
              <w:rPr>
                <w:bCs/>
                <w:color w:val="000000"/>
                <w:sz w:val="24"/>
              </w:rPr>
            </w:pPr>
            <w:r>
              <w:rPr>
                <w:rFonts w:hint="eastAsia"/>
                <w:sz w:val="24"/>
              </w:rPr>
              <w:t>港铁中国车站商业投资管理有限公司与广州地铁资源经营发展有限公司新设合营企业案</w:t>
            </w:r>
          </w:p>
        </w:tc>
      </w:tr>
      <w:tr w14:paraId="70DE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573DEB6F">
            <w:pPr>
              <w:pStyle w:val="2"/>
              <w:widowControl/>
              <w:adjustRightInd w:val="0"/>
              <w:snapToGrid w:val="0"/>
              <w:spacing w:after="0"/>
              <w:jc w:val="center"/>
              <w:rPr>
                <w:bCs/>
                <w:color w:val="000000"/>
                <w:sz w:val="24"/>
              </w:rPr>
            </w:pPr>
            <w:r>
              <w:rPr>
                <w:bCs/>
                <w:color w:val="000000"/>
                <w:sz w:val="24"/>
              </w:rPr>
              <w:t>交易概况（限200字内）</w:t>
            </w:r>
          </w:p>
        </w:tc>
        <w:tc>
          <w:tcPr>
            <w:tcW w:w="7700" w:type="dxa"/>
            <w:gridSpan w:val="2"/>
            <w:vAlign w:val="center"/>
          </w:tcPr>
          <w:p w14:paraId="2FC76CCD">
            <w:pPr>
              <w:widowControl/>
              <w:adjustRightInd w:val="0"/>
              <w:snapToGrid w:val="0"/>
              <w:rPr>
                <w:sz w:val="24"/>
              </w:rPr>
            </w:pPr>
            <w:r>
              <w:rPr>
                <w:rFonts w:hint="eastAsia"/>
                <w:sz w:val="24"/>
              </w:rPr>
              <w:t>港铁中国车站商业投资管理有限公司（“</w:t>
            </w:r>
            <w:r>
              <w:rPr>
                <w:rFonts w:hint="eastAsia"/>
                <w:b/>
                <w:bCs/>
                <w:sz w:val="24"/>
              </w:rPr>
              <w:t>港铁中国车站商业</w:t>
            </w:r>
            <w:r>
              <w:rPr>
                <w:rFonts w:hint="eastAsia"/>
                <w:sz w:val="24"/>
              </w:rPr>
              <w:t>”）与广州地铁资源经营发展有限公司（“</w:t>
            </w:r>
            <w:r>
              <w:rPr>
                <w:rFonts w:hint="eastAsia"/>
                <w:b/>
                <w:bCs/>
                <w:sz w:val="24"/>
              </w:rPr>
              <w:t>广州地铁资源</w:t>
            </w:r>
            <w:r>
              <w:rPr>
                <w:rFonts w:hint="eastAsia"/>
                <w:sz w:val="24"/>
              </w:rPr>
              <w:t>”）签署协议，拟共同新设合营企业，合营企业主要在广州市运营相关地铁线路车站商业资源等。交易后，港铁中国车站商业、广州地铁资源将分别持有合营企业51%、49%的股份，共同控制合营企业。</w:t>
            </w:r>
          </w:p>
        </w:tc>
      </w:tr>
      <w:tr w14:paraId="6DF2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67352BF8">
            <w:pPr>
              <w:pStyle w:val="2"/>
              <w:widowControl/>
              <w:adjustRightInd w:val="0"/>
              <w:snapToGrid w:val="0"/>
              <w:spacing w:after="0"/>
              <w:jc w:val="center"/>
              <w:rPr>
                <w:bCs/>
                <w:color w:val="000000"/>
                <w:sz w:val="24"/>
              </w:rPr>
            </w:pPr>
            <w:r>
              <w:rPr>
                <w:bCs/>
                <w:color w:val="000000"/>
                <w:sz w:val="24"/>
              </w:rPr>
              <w:t>参与集中的经营者简介（每个限100字内）</w:t>
            </w:r>
          </w:p>
        </w:tc>
        <w:tc>
          <w:tcPr>
            <w:tcW w:w="1476" w:type="dxa"/>
            <w:vAlign w:val="center"/>
          </w:tcPr>
          <w:p w14:paraId="44BB45C2">
            <w:pPr>
              <w:pStyle w:val="2"/>
              <w:widowControl/>
              <w:adjustRightInd w:val="0"/>
              <w:snapToGrid w:val="0"/>
              <w:spacing w:after="0"/>
              <w:rPr>
                <w:bCs/>
                <w:color w:val="000000"/>
                <w:sz w:val="24"/>
              </w:rPr>
            </w:pPr>
            <w:r>
              <w:rPr>
                <w:bCs/>
                <w:color w:val="000000"/>
                <w:sz w:val="24"/>
              </w:rPr>
              <w:t>1.</w:t>
            </w:r>
            <w:r>
              <w:rPr>
                <w:rFonts w:hint="eastAsia"/>
                <w:bCs/>
                <w:color w:val="000000"/>
                <w:sz w:val="24"/>
              </w:rPr>
              <w:t>港铁中国车站商业</w:t>
            </w:r>
          </w:p>
        </w:tc>
        <w:tc>
          <w:tcPr>
            <w:tcW w:w="6224" w:type="dxa"/>
            <w:vAlign w:val="center"/>
          </w:tcPr>
          <w:p w14:paraId="051917F7">
            <w:pPr>
              <w:pStyle w:val="2"/>
              <w:widowControl/>
              <w:adjustRightInd w:val="0"/>
              <w:snapToGrid w:val="0"/>
              <w:spacing w:after="0"/>
              <w:rPr>
                <w:rFonts w:hint="eastAsia"/>
                <w:sz w:val="24"/>
              </w:rPr>
            </w:pPr>
            <w:r>
              <w:rPr>
                <w:rFonts w:hint="eastAsia"/>
                <w:sz w:val="24"/>
              </w:rPr>
              <w:t>港铁中国车站商业于2025年2月10日成立于中国香港，主要在中国内地开展车站商务业务的投资。</w:t>
            </w:r>
          </w:p>
          <w:p w14:paraId="02563723">
            <w:pPr>
              <w:pStyle w:val="2"/>
              <w:widowControl/>
              <w:adjustRightInd w:val="0"/>
              <w:snapToGrid w:val="0"/>
              <w:spacing w:after="0"/>
              <w:rPr>
                <w:bCs/>
                <w:color w:val="000000"/>
                <w:sz w:val="24"/>
              </w:rPr>
            </w:pPr>
            <w:r>
              <w:rPr>
                <w:rFonts w:hint="eastAsia"/>
                <w:sz w:val="24"/>
              </w:rPr>
              <w:t>港铁中国车站商业的最终控制人为香港铁路有限公司，主要在中国香港、海外及中国境内从事铁路营运及其他多元业务等。</w:t>
            </w:r>
          </w:p>
        </w:tc>
      </w:tr>
      <w:tr w14:paraId="77EC7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66D6A0DD">
            <w:pPr>
              <w:pStyle w:val="2"/>
              <w:widowControl/>
              <w:adjustRightInd w:val="0"/>
              <w:snapToGrid w:val="0"/>
              <w:spacing w:after="0"/>
              <w:jc w:val="center"/>
              <w:rPr>
                <w:bCs/>
                <w:color w:val="000000"/>
                <w:sz w:val="24"/>
              </w:rPr>
            </w:pPr>
          </w:p>
        </w:tc>
        <w:tc>
          <w:tcPr>
            <w:tcW w:w="1476" w:type="dxa"/>
            <w:vAlign w:val="center"/>
          </w:tcPr>
          <w:p w14:paraId="6DFD6C5A">
            <w:pPr>
              <w:pStyle w:val="2"/>
              <w:widowControl/>
              <w:adjustRightInd w:val="0"/>
              <w:snapToGrid w:val="0"/>
              <w:spacing w:after="0"/>
              <w:rPr>
                <w:bCs/>
                <w:color w:val="000000"/>
                <w:sz w:val="24"/>
              </w:rPr>
            </w:pPr>
            <w:r>
              <w:rPr>
                <w:bCs/>
                <w:color w:val="000000"/>
                <w:sz w:val="24"/>
              </w:rPr>
              <w:t>2.</w:t>
            </w:r>
            <w:r>
              <w:rPr>
                <w:rFonts w:hint="eastAsia"/>
                <w:bCs/>
                <w:color w:val="000000"/>
                <w:sz w:val="24"/>
              </w:rPr>
              <w:t>广州地铁资源</w:t>
            </w:r>
          </w:p>
        </w:tc>
        <w:tc>
          <w:tcPr>
            <w:tcW w:w="6224" w:type="dxa"/>
            <w:vAlign w:val="center"/>
          </w:tcPr>
          <w:p w14:paraId="5AAE66C7">
            <w:pPr>
              <w:pStyle w:val="2"/>
              <w:widowControl/>
              <w:adjustRightInd w:val="0"/>
              <w:snapToGrid w:val="0"/>
              <w:spacing w:after="0"/>
              <w:rPr>
                <w:rFonts w:hint="eastAsia"/>
                <w:sz w:val="24"/>
              </w:rPr>
            </w:pPr>
            <w:r>
              <w:rPr>
                <w:rFonts w:hint="eastAsia"/>
                <w:sz w:val="24"/>
              </w:rPr>
              <w:t>广州地铁资源于2022年9月29日成立于广东省广州市，主要从事广州轨道交通沿线的商业开发、物业管理。</w:t>
            </w:r>
          </w:p>
          <w:p w14:paraId="730A62C6">
            <w:pPr>
              <w:pStyle w:val="2"/>
              <w:widowControl/>
              <w:adjustRightInd w:val="0"/>
              <w:snapToGrid w:val="0"/>
              <w:spacing w:after="0"/>
              <w:rPr>
                <w:sz w:val="24"/>
              </w:rPr>
            </w:pPr>
            <w:r>
              <w:rPr>
                <w:rFonts w:hint="eastAsia"/>
                <w:sz w:val="24"/>
              </w:rPr>
              <w:t>广州地铁资源的最终控制人为广州地铁集团有限公司，主要业务为广州轨道交通线路建设、运营以及地铁附属资源的开发与经营。</w:t>
            </w:r>
          </w:p>
        </w:tc>
      </w:tr>
      <w:tr w14:paraId="59E19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705BE90F">
            <w:pPr>
              <w:pStyle w:val="2"/>
              <w:widowControl/>
              <w:adjustRightInd w:val="0"/>
              <w:snapToGrid w:val="0"/>
              <w:spacing w:after="0"/>
              <w:jc w:val="center"/>
              <w:rPr>
                <w:bCs/>
                <w:color w:val="000000"/>
                <w:sz w:val="24"/>
              </w:rPr>
            </w:pPr>
            <w:r>
              <w:rPr>
                <w:bCs/>
                <w:color w:val="000000"/>
                <w:sz w:val="24"/>
              </w:rPr>
              <w:t>简易案件理由（可以单选，也可以多选）</w:t>
            </w:r>
          </w:p>
        </w:tc>
        <w:tc>
          <w:tcPr>
            <w:tcW w:w="7700" w:type="dxa"/>
            <w:gridSpan w:val="2"/>
            <w:vAlign w:val="center"/>
          </w:tcPr>
          <w:p w14:paraId="6FDE74C2">
            <w:pPr>
              <w:pStyle w:val="2"/>
              <w:widowControl/>
              <w:adjustRightInd w:val="0"/>
              <w:snapToGrid w:val="0"/>
              <w:spacing w:after="0"/>
              <w:rPr>
                <w:bCs/>
                <w:color w:val="000000"/>
                <w:sz w:val="24"/>
              </w:rPr>
            </w:pPr>
            <w:r>
              <w:rPr>
                <w:bCs/>
                <w:color w:val="000000"/>
                <w:sz w:val="24"/>
              </w:rPr>
              <w:sym w:font="Wingdings" w:char="00FE"/>
            </w:r>
            <w:r>
              <w:rPr>
                <w:bCs/>
                <w:color w:val="000000"/>
                <w:sz w:val="24"/>
              </w:rPr>
              <w:t xml:space="preserve"> 1、在同一相关市场，所有参与集中的经营者所占市场份额之和小于15%。</w:t>
            </w:r>
          </w:p>
        </w:tc>
      </w:tr>
      <w:tr w14:paraId="4C40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33CF349E">
            <w:pPr>
              <w:pStyle w:val="2"/>
              <w:widowControl/>
              <w:adjustRightInd w:val="0"/>
              <w:snapToGrid w:val="0"/>
              <w:spacing w:after="0"/>
              <w:jc w:val="center"/>
              <w:rPr>
                <w:bCs/>
                <w:color w:val="000000"/>
                <w:sz w:val="24"/>
              </w:rPr>
            </w:pPr>
          </w:p>
        </w:tc>
        <w:tc>
          <w:tcPr>
            <w:tcW w:w="7700" w:type="dxa"/>
            <w:gridSpan w:val="2"/>
            <w:vAlign w:val="center"/>
          </w:tcPr>
          <w:p w14:paraId="3DBA48E6">
            <w:pPr>
              <w:pStyle w:val="2"/>
              <w:widowControl/>
              <w:adjustRightInd w:val="0"/>
              <w:snapToGrid w:val="0"/>
              <w:spacing w:after="0"/>
              <w:rPr>
                <w:bCs/>
                <w:color w:val="000000"/>
                <w:sz w:val="24"/>
              </w:rPr>
            </w:pPr>
            <w:r>
              <w:rPr>
                <w:bCs/>
                <w:color w:val="000000"/>
                <w:sz w:val="24"/>
              </w:rPr>
              <w:sym w:font="Wingdings" w:char="00FE"/>
            </w:r>
            <w:r>
              <w:rPr>
                <w:bCs/>
                <w:color w:val="000000"/>
                <w:sz w:val="24"/>
              </w:rPr>
              <w:t xml:space="preserve"> 2、存在上下游关系的参与集中的经营者，在上下游市场所占的市场份额均小于25%。</w:t>
            </w:r>
          </w:p>
        </w:tc>
      </w:tr>
      <w:tr w14:paraId="62FB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597690EA">
            <w:pPr>
              <w:pStyle w:val="2"/>
              <w:widowControl/>
              <w:adjustRightInd w:val="0"/>
              <w:snapToGrid w:val="0"/>
              <w:spacing w:after="0"/>
              <w:jc w:val="center"/>
              <w:rPr>
                <w:bCs/>
                <w:color w:val="000000"/>
                <w:sz w:val="24"/>
              </w:rPr>
            </w:pPr>
          </w:p>
        </w:tc>
        <w:tc>
          <w:tcPr>
            <w:tcW w:w="7700" w:type="dxa"/>
            <w:gridSpan w:val="2"/>
            <w:vAlign w:val="center"/>
          </w:tcPr>
          <w:p w14:paraId="411237AC">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3、不在同一相关市场、也不存在上下游关系的参与集中的经营者，在与交易有关的每个市场所占的份额均小于25%。</w:t>
            </w:r>
          </w:p>
        </w:tc>
      </w:tr>
      <w:tr w14:paraId="1CCF8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14:paraId="6FA8D83A">
            <w:pPr>
              <w:pStyle w:val="2"/>
              <w:widowControl/>
              <w:adjustRightInd w:val="0"/>
              <w:snapToGrid w:val="0"/>
              <w:spacing w:after="0"/>
              <w:jc w:val="center"/>
              <w:rPr>
                <w:bCs/>
                <w:color w:val="000000"/>
                <w:sz w:val="24"/>
              </w:rPr>
            </w:pPr>
          </w:p>
        </w:tc>
        <w:tc>
          <w:tcPr>
            <w:tcW w:w="7700" w:type="dxa"/>
            <w:gridSpan w:val="2"/>
            <w:vAlign w:val="center"/>
          </w:tcPr>
          <w:p w14:paraId="1F09A5AD">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4、参与集中的经营者在中国境外设立合营企业，合营企业不在中国境内从事经济活动。</w:t>
            </w:r>
          </w:p>
        </w:tc>
      </w:tr>
      <w:tr w14:paraId="6C0C9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437788AB">
            <w:pPr>
              <w:pStyle w:val="2"/>
              <w:widowControl/>
              <w:adjustRightInd w:val="0"/>
              <w:snapToGrid w:val="0"/>
              <w:spacing w:after="0"/>
              <w:jc w:val="center"/>
              <w:rPr>
                <w:bCs/>
                <w:color w:val="000000"/>
                <w:sz w:val="24"/>
              </w:rPr>
            </w:pPr>
          </w:p>
        </w:tc>
        <w:tc>
          <w:tcPr>
            <w:tcW w:w="7700" w:type="dxa"/>
            <w:gridSpan w:val="2"/>
            <w:vAlign w:val="center"/>
          </w:tcPr>
          <w:p w14:paraId="6219220E">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5、参与集中的经营者收购境外企业股权或资产的，该境外企业不在中国境内从事经济活动。</w:t>
            </w:r>
          </w:p>
        </w:tc>
      </w:tr>
      <w:tr w14:paraId="25C13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1BA3E470">
            <w:pPr>
              <w:pStyle w:val="2"/>
              <w:widowControl/>
              <w:adjustRightInd w:val="0"/>
              <w:snapToGrid w:val="0"/>
              <w:spacing w:after="0"/>
              <w:jc w:val="center"/>
              <w:rPr>
                <w:bCs/>
                <w:color w:val="000000"/>
                <w:sz w:val="24"/>
              </w:rPr>
            </w:pPr>
          </w:p>
        </w:tc>
        <w:tc>
          <w:tcPr>
            <w:tcW w:w="7700" w:type="dxa"/>
            <w:gridSpan w:val="2"/>
            <w:vAlign w:val="center"/>
          </w:tcPr>
          <w:p w14:paraId="5EA7239F">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6、由两个以上的经营者共同控制的合营企业，通过集中被其中一个或一个以上经营者控制。</w:t>
            </w:r>
          </w:p>
        </w:tc>
      </w:tr>
      <w:tr w14:paraId="6FFE9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trPr>
        <w:tc>
          <w:tcPr>
            <w:tcW w:w="1940" w:type="dxa"/>
            <w:shd w:val="clear" w:color="auto" w:fill="D9D9D9"/>
            <w:vAlign w:val="center"/>
          </w:tcPr>
          <w:p w14:paraId="78872196">
            <w:pPr>
              <w:pStyle w:val="2"/>
              <w:widowControl/>
              <w:adjustRightInd w:val="0"/>
              <w:snapToGrid w:val="0"/>
              <w:spacing w:after="0"/>
              <w:jc w:val="center"/>
              <w:rPr>
                <w:bCs/>
                <w:color w:val="000000"/>
                <w:sz w:val="24"/>
              </w:rPr>
            </w:pPr>
            <w:r>
              <w:rPr>
                <w:bCs/>
                <w:color w:val="000000"/>
                <w:sz w:val="24"/>
              </w:rPr>
              <w:t>备注</w:t>
            </w:r>
          </w:p>
        </w:tc>
        <w:tc>
          <w:tcPr>
            <w:tcW w:w="7700" w:type="dxa"/>
            <w:gridSpan w:val="2"/>
            <w:vAlign w:val="center"/>
          </w:tcPr>
          <w:p w14:paraId="717F11F5">
            <w:pPr>
              <w:pStyle w:val="2"/>
              <w:widowControl/>
              <w:adjustRightInd w:val="0"/>
              <w:snapToGrid w:val="0"/>
              <w:spacing w:after="0"/>
              <w:rPr>
                <w:b/>
                <w:color w:val="000000"/>
                <w:kern w:val="0"/>
                <w:sz w:val="24"/>
                <w:lang w:val="en-GB"/>
              </w:rPr>
            </w:pPr>
            <w:r>
              <w:rPr>
                <w:b/>
                <w:color w:val="000000"/>
                <w:kern w:val="0"/>
                <w:sz w:val="24"/>
                <w:lang w:val="en-GB"/>
              </w:rPr>
              <w:t>横向重叠：</w:t>
            </w:r>
          </w:p>
          <w:tbl>
            <w:tblPr>
              <w:tblStyle w:val="3"/>
              <w:tblW w:w="7452" w:type="dxa"/>
              <w:tblInd w:w="0" w:type="dxa"/>
              <w:tblLayout w:type="fixed"/>
              <w:tblCellMar>
                <w:top w:w="0" w:type="dxa"/>
                <w:left w:w="10" w:type="dxa"/>
                <w:bottom w:w="0" w:type="dxa"/>
                <w:right w:w="10" w:type="dxa"/>
              </w:tblCellMar>
            </w:tblPr>
            <w:tblGrid>
              <w:gridCol w:w="2659"/>
              <w:gridCol w:w="1675"/>
              <w:gridCol w:w="3118"/>
            </w:tblGrid>
            <w:tr w14:paraId="06086D9B">
              <w:tblPrEx>
                <w:tblCellMar>
                  <w:top w:w="0" w:type="dxa"/>
                  <w:left w:w="10" w:type="dxa"/>
                  <w:bottom w:w="0" w:type="dxa"/>
                  <w:right w:w="10" w:type="dxa"/>
                </w:tblCellMar>
              </w:tblPrEx>
              <w:trPr>
                <w:trHeight w:val="252" w:hRule="atLeast"/>
              </w:trPr>
              <w:tc>
                <w:tcPr>
                  <w:tcW w:w="2659"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14:paraId="74AFFBFD">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bCs/>
                      <w:color w:val="000000"/>
                      <w:sz w:val="24"/>
                      <w:szCs w:val="24"/>
                      <w:lang w:eastAsia="zh-CN"/>
                    </w:rPr>
                    <w:t>相关商品市场</w:t>
                  </w:r>
                </w:p>
              </w:tc>
              <w:tc>
                <w:tcPr>
                  <w:tcW w:w="167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14:paraId="0DAB63F5">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bCs/>
                      <w:color w:val="000000"/>
                      <w:sz w:val="24"/>
                      <w:szCs w:val="24"/>
                      <w:lang w:eastAsia="zh-CN"/>
                    </w:rPr>
                    <w:t>相关地域市场</w:t>
                  </w:r>
                </w:p>
              </w:tc>
              <w:tc>
                <w:tcPr>
                  <w:tcW w:w="311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14:paraId="5592B2EA">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bCs/>
                      <w:color w:val="000000"/>
                      <w:sz w:val="24"/>
                      <w:szCs w:val="24"/>
                      <w:lang w:eastAsia="zh-CN"/>
                    </w:rPr>
                    <w:t>2024年市场份额</w:t>
                  </w:r>
                </w:p>
              </w:tc>
            </w:tr>
            <w:tr w14:paraId="3B6658DF">
              <w:tblPrEx>
                <w:tblCellMar>
                  <w:top w:w="0" w:type="dxa"/>
                  <w:left w:w="10" w:type="dxa"/>
                  <w:bottom w:w="0" w:type="dxa"/>
                  <w:right w:w="10" w:type="dxa"/>
                </w:tblCellMar>
              </w:tblPrEx>
              <w:trPr>
                <w:trHeight w:val="756" w:hRule="atLeast"/>
              </w:trPr>
              <w:tc>
                <w:tcPr>
                  <w:tcW w:w="2659"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14:paraId="1616A3E4">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bCs/>
                      <w:color w:val="000000"/>
                      <w:sz w:val="24"/>
                      <w:szCs w:val="24"/>
                      <w:lang w:eastAsia="zh-CN"/>
                    </w:rPr>
                    <w:t>中小型零售商业地产开发和运营市场</w:t>
                  </w:r>
                </w:p>
              </w:tc>
              <w:tc>
                <w:tcPr>
                  <w:tcW w:w="1675"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14:paraId="48D001BC">
                  <w:pPr>
                    <w:pStyle w:val="2"/>
                    <w:adjustRightInd w:val="0"/>
                    <w:snapToGrid w:val="0"/>
                    <w:spacing w:after="0"/>
                    <w:rPr>
                      <w:rFonts w:hint="default" w:ascii="Times New Roman" w:hAnsi="Times New Roman" w:cs="Times New Roman"/>
                      <w:bCs/>
                      <w:color w:val="000000"/>
                      <w:sz w:val="24"/>
                      <w:szCs w:val="24"/>
                    </w:rPr>
                  </w:pPr>
                  <w:r>
                    <w:rPr>
                      <w:rFonts w:hint="default" w:ascii="Times New Roman" w:hAnsi="Times New Roman" w:cs="Times New Roman"/>
                      <w:bCs/>
                      <w:color w:val="000000"/>
                      <w:sz w:val="24"/>
                      <w:szCs w:val="24"/>
                      <w:lang w:eastAsia="zh-CN"/>
                    </w:rPr>
                    <w:t>广州</w:t>
                  </w:r>
                  <w:r>
                    <w:rPr>
                      <w:rFonts w:hint="default" w:ascii="Times New Roman" w:hAnsi="Times New Roman" w:cs="Times New Roman"/>
                      <w:bCs/>
                      <w:color w:val="000000"/>
                      <w:sz w:val="24"/>
                      <w:szCs w:val="24"/>
                    </w:rPr>
                    <w:t>市</w:t>
                  </w:r>
                </w:p>
              </w:tc>
              <w:tc>
                <w:tcPr>
                  <w:tcW w:w="3118"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14:paraId="0A472892">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sz w:val="24"/>
                      <w:szCs w:val="24"/>
                      <w:lang w:eastAsia="zh-CN"/>
                    </w:rPr>
                    <w:t>广州地铁资源</w:t>
                  </w:r>
                  <w:r>
                    <w:rPr>
                      <w:rFonts w:hint="default" w:ascii="Times New Roman" w:hAnsi="Times New Roman" w:cs="Times New Roman"/>
                      <w:bCs/>
                      <w:color w:val="000000"/>
                      <w:sz w:val="24"/>
                      <w:szCs w:val="24"/>
                      <w:lang w:eastAsia="zh-CN"/>
                    </w:rPr>
                    <w:t>：0-5%</w:t>
                  </w:r>
                </w:p>
                <w:p w14:paraId="77187680">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bCs/>
                      <w:color w:val="000000"/>
                      <w:sz w:val="24"/>
                      <w:szCs w:val="24"/>
                      <w:lang w:eastAsia="zh-CN"/>
                    </w:rPr>
                    <w:t>合营企业（2028年预估）：0-5%</w:t>
                  </w:r>
                </w:p>
                <w:p w14:paraId="736FBDBD">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bCs/>
                      <w:color w:val="000000"/>
                      <w:sz w:val="24"/>
                      <w:szCs w:val="24"/>
                      <w:lang w:eastAsia="zh-CN"/>
                    </w:rPr>
                    <w:t>双方合计：0-5%</w:t>
                  </w:r>
                </w:p>
              </w:tc>
            </w:tr>
          </w:tbl>
          <w:p w14:paraId="13FBEE1B">
            <w:pPr>
              <w:pStyle w:val="2"/>
              <w:widowControl/>
              <w:adjustRightInd w:val="0"/>
              <w:snapToGrid w:val="0"/>
              <w:spacing w:after="0"/>
              <w:rPr>
                <w:rFonts w:hint="eastAsia"/>
                <w:bCs/>
                <w:color w:val="000000"/>
                <w:kern w:val="0"/>
                <w:sz w:val="24"/>
              </w:rPr>
            </w:pPr>
          </w:p>
          <w:p w14:paraId="3F3B593B">
            <w:pPr>
              <w:pStyle w:val="2"/>
              <w:widowControl/>
              <w:adjustRightInd w:val="0"/>
              <w:snapToGrid w:val="0"/>
              <w:spacing w:after="0"/>
              <w:rPr>
                <w:rFonts w:hint="eastAsia"/>
                <w:b/>
                <w:bCs w:val="0"/>
                <w:color w:val="000000"/>
                <w:kern w:val="0"/>
                <w:sz w:val="24"/>
              </w:rPr>
            </w:pPr>
            <w:r>
              <w:rPr>
                <w:rFonts w:hint="eastAsia"/>
                <w:b/>
                <w:bCs w:val="0"/>
                <w:color w:val="000000"/>
                <w:kern w:val="0"/>
                <w:sz w:val="24"/>
              </w:rPr>
              <w:t>纵向关联：</w:t>
            </w:r>
          </w:p>
          <w:tbl>
            <w:tblPr>
              <w:tblStyle w:val="3"/>
              <w:tblW w:w="7453" w:type="dxa"/>
              <w:tblInd w:w="0" w:type="dxa"/>
              <w:tblLayout w:type="fixed"/>
              <w:tblCellMar>
                <w:top w:w="0" w:type="dxa"/>
                <w:left w:w="10" w:type="dxa"/>
                <w:bottom w:w="0" w:type="dxa"/>
                <w:right w:w="10" w:type="dxa"/>
              </w:tblCellMar>
            </w:tblPr>
            <w:tblGrid>
              <w:gridCol w:w="2659"/>
              <w:gridCol w:w="1734"/>
              <w:gridCol w:w="3060"/>
            </w:tblGrid>
            <w:tr w14:paraId="1295EB60">
              <w:tblPrEx>
                <w:tblCellMar>
                  <w:top w:w="0" w:type="dxa"/>
                  <w:left w:w="10" w:type="dxa"/>
                  <w:bottom w:w="0" w:type="dxa"/>
                  <w:right w:w="10" w:type="dxa"/>
                </w:tblCellMar>
              </w:tblPrEx>
              <w:trPr>
                <w:trHeight w:val="252" w:hRule="atLeast"/>
              </w:trPr>
              <w:tc>
                <w:tcPr>
                  <w:tcW w:w="2659"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14:paraId="0250310C">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bCs/>
                      <w:color w:val="000000"/>
                      <w:sz w:val="24"/>
                      <w:szCs w:val="24"/>
                      <w:lang w:eastAsia="zh-CN"/>
                    </w:rPr>
                    <w:t>相关商品市场</w:t>
                  </w:r>
                </w:p>
              </w:tc>
              <w:tc>
                <w:tcPr>
                  <w:tcW w:w="1734"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14:paraId="47150A73">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bCs/>
                      <w:color w:val="000000"/>
                      <w:sz w:val="24"/>
                      <w:szCs w:val="24"/>
                      <w:lang w:eastAsia="zh-CN"/>
                    </w:rPr>
                    <w:t>相关地域市场</w:t>
                  </w:r>
                </w:p>
              </w:tc>
              <w:tc>
                <w:tcPr>
                  <w:tcW w:w="306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14:paraId="43FE0B0B">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bCs/>
                      <w:color w:val="000000"/>
                      <w:sz w:val="24"/>
                      <w:szCs w:val="24"/>
                      <w:lang w:eastAsia="zh-CN"/>
                    </w:rPr>
                    <w:t>2024年市场份额</w:t>
                  </w:r>
                </w:p>
              </w:tc>
            </w:tr>
            <w:tr w14:paraId="41847269">
              <w:tblPrEx>
                <w:tblCellMar>
                  <w:top w:w="0" w:type="dxa"/>
                  <w:left w:w="10" w:type="dxa"/>
                  <w:bottom w:w="0" w:type="dxa"/>
                  <w:right w:w="10" w:type="dxa"/>
                </w:tblCellMar>
              </w:tblPrEx>
              <w:trPr>
                <w:trHeight w:val="756" w:hRule="atLeast"/>
              </w:trPr>
              <w:tc>
                <w:tcPr>
                  <w:tcW w:w="2659"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14:paraId="42C71726">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color w:val="000000"/>
                      <w:sz w:val="24"/>
                      <w:szCs w:val="24"/>
                      <w:lang w:eastAsia="zh-CN"/>
                    </w:rPr>
                    <w:t>上游：</w:t>
                  </w:r>
                  <w:r>
                    <w:rPr>
                      <w:rFonts w:hint="default" w:ascii="Times New Roman" w:hAnsi="Times New Roman" w:cs="Times New Roman"/>
                      <w:bCs/>
                      <w:color w:val="000000"/>
                      <w:sz w:val="24"/>
                      <w:szCs w:val="24"/>
                      <w:lang w:eastAsia="zh-CN"/>
                    </w:rPr>
                    <w:t>商业物业管理服务市场</w:t>
                  </w:r>
                </w:p>
                <w:p w14:paraId="457BF843">
                  <w:pPr>
                    <w:pStyle w:val="2"/>
                    <w:adjustRightInd w:val="0"/>
                    <w:snapToGrid w:val="0"/>
                    <w:spacing w:after="0"/>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t>下游：</w:t>
                  </w:r>
                  <w:r>
                    <w:rPr>
                      <w:rFonts w:hint="default" w:ascii="Times New Roman" w:hAnsi="Times New Roman" w:cs="Times New Roman"/>
                      <w:color w:val="000000"/>
                      <w:sz w:val="24"/>
                      <w:szCs w:val="24"/>
                      <w:lang w:eastAsia="zh-CN"/>
                    </w:rPr>
                    <w:t>中小型零售商业地产开发和运营市场</w:t>
                  </w:r>
                  <w:r>
                    <w:rPr>
                      <w:rFonts w:hint="default" w:ascii="Times New Roman" w:hAnsi="Times New Roman" w:cs="Times New Roman"/>
                      <w:bCs/>
                      <w:color w:val="000000"/>
                      <w:sz w:val="24"/>
                      <w:szCs w:val="24"/>
                      <w:lang w:eastAsia="zh-CN"/>
                    </w:rPr>
                    <w:t xml:space="preserve"> </w:t>
                  </w:r>
                </w:p>
              </w:tc>
              <w:tc>
                <w:tcPr>
                  <w:tcW w:w="1734"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14:paraId="108DA127">
                  <w:pPr>
                    <w:pStyle w:val="2"/>
                    <w:adjustRightInd w:val="0"/>
                    <w:snapToGrid w:val="0"/>
                    <w:spacing w:after="0"/>
                    <w:rPr>
                      <w:rFonts w:hint="default" w:ascii="Times New Roman" w:hAnsi="Times New Roman" w:cs="Times New Roman"/>
                      <w:color w:val="000000"/>
                      <w:sz w:val="24"/>
                      <w:szCs w:val="24"/>
                      <w:lang w:eastAsia="zh-CN"/>
                    </w:rPr>
                  </w:pPr>
                  <w:r>
                    <w:rPr>
                      <w:rFonts w:hint="default" w:ascii="Times New Roman" w:hAnsi="Times New Roman" w:cs="Times New Roman"/>
                      <w:color w:val="000000"/>
                      <w:sz w:val="24"/>
                      <w:szCs w:val="24"/>
                      <w:lang w:eastAsia="zh-CN"/>
                    </w:rPr>
                    <w:t>上游：广州市</w:t>
                  </w:r>
                </w:p>
                <w:p w14:paraId="6FAD42E7">
                  <w:pPr>
                    <w:pStyle w:val="2"/>
                    <w:adjustRightInd w:val="0"/>
                    <w:snapToGrid w:val="0"/>
                    <w:spacing w:after="0"/>
                    <w:rPr>
                      <w:rFonts w:hint="default" w:ascii="Times New Roman" w:hAnsi="Times New Roman" w:cs="Times New Roman"/>
                      <w:color w:val="000000"/>
                      <w:sz w:val="24"/>
                      <w:szCs w:val="24"/>
                      <w:lang w:val="en-US" w:eastAsia="zh-CN"/>
                    </w:rPr>
                  </w:pPr>
                </w:p>
                <w:p w14:paraId="0AEE249B">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color w:val="000000"/>
                      <w:sz w:val="24"/>
                      <w:szCs w:val="24"/>
                      <w:lang w:val="en-US" w:eastAsia="zh-CN"/>
                    </w:rPr>
                    <w:t>下游：广州市</w:t>
                  </w:r>
                </w:p>
              </w:tc>
              <w:tc>
                <w:tcPr>
                  <w:tcW w:w="3060" w:type="dxa"/>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top"/>
                </w:tcPr>
                <w:p w14:paraId="5C6EC8BE">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bCs/>
                      <w:color w:val="000000"/>
                      <w:sz w:val="24"/>
                      <w:szCs w:val="24"/>
                      <w:lang w:eastAsia="zh-CN"/>
                    </w:rPr>
                    <w:t>上游：广州市商业物业管理服务市场</w:t>
                  </w:r>
                </w:p>
                <w:p w14:paraId="454D3BA7">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sz w:val="24"/>
                      <w:szCs w:val="24"/>
                      <w:lang w:eastAsia="zh-CN"/>
                    </w:rPr>
                    <w:t>广州地铁资源</w:t>
                  </w:r>
                  <w:r>
                    <w:rPr>
                      <w:rFonts w:hint="default" w:ascii="Times New Roman" w:hAnsi="Times New Roman" w:cs="Times New Roman"/>
                      <w:bCs/>
                      <w:color w:val="000000"/>
                      <w:sz w:val="24"/>
                      <w:szCs w:val="24"/>
                      <w:lang w:eastAsia="zh-CN"/>
                    </w:rPr>
                    <w:t>：10-15%</w:t>
                  </w:r>
                </w:p>
                <w:p w14:paraId="3B28270B">
                  <w:pPr>
                    <w:pStyle w:val="2"/>
                    <w:adjustRightInd w:val="0"/>
                    <w:snapToGrid w:val="0"/>
                    <w:spacing w:after="0"/>
                    <w:rPr>
                      <w:rFonts w:hint="default" w:ascii="Times New Roman" w:hAnsi="Times New Roman" w:cs="Times New Roman"/>
                      <w:bCs/>
                      <w:color w:val="000000"/>
                      <w:sz w:val="24"/>
                      <w:szCs w:val="24"/>
                      <w:lang w:eastAsia="zh-CN"/>
                    </w:rPr>
                  </w:pPr>
                  <w:r>
                    <w:rPr>
                      <w:rFonts w:hint="default" w:ascii="Times New Roman" w:hAnsi="Times New Roman" w:cs="Times New Roman"/>
                      <w:bCs/>
                      <w:color w:val="000000"/>
                      <w:sz w:val="24"/>
                      <w:szCs w:val="24"/>
                      <w:lang w:eastAsia="zh-CN"/>
                    </w:rPr>
                    <w:t>下游：广州市中小型零售商业地产开发和运营市场</w:t>
                  </w:r>
                </w:p>
                <w:p w14:paraId="60F3EC5A">
                  <w:pPr>
                    <w:pStyle w:val="2"/>
                    <w:adjustRightInd w:val="0"/>
                    <w:snapToGrid w:val="0"/>
                    <w:spacing w:after="0"/>
                    <w:rPr>
                      <w:rFonts w:hint="default" w:ascii="Times New Roman" w:hAnsi="Times New Roman" w:cs="Times New Roman"/>
                      <w:sz w:val="24"/>
                      <w:szCs w:val="24"/>
                      <w:lang w:eastAsia="zh-CN"/>
                    </w:rPr>
                  </w:pPr>
                  <w:r>
                    <w:rPr>
                      <w:rFonts w:hint="default" w:ascii="Times New Roman" w:hAnsi="Times New Roman" w:cs="Times New Roman"/>
                      <w:bCs/>
                      <w:color w:val="000000"/>
                      <w:sz w:val="24"/>
                      <w:szCs w:val="24"/>
                      <w:lang w:eastAsia="zh-CN"/>
                    </w:rPr>
                    <w:t>如上所述</w:t>
                  </w:r>
                </w:p>
              </w:tc>
            </w:tr>
          </w:tbl>
          <w:p w14:paraId="4A7DBB6E">
            <w:pPr>
              <w:pStyle w:val="2"/>
              <w:widowControl/>
              <w:adjustRightInd w:val="0"/>
              <w:snapToGrid w:val="0"/>
              <w:spacing w:after="0"/>
              <w:rPr>
                <w:rFonts w:hint="eastAsia"/>
                <w:bCs/>
                <w:color w:val="000000"/>
                <w:kern w:val="0"/>
                <w:sz w:val="24"/>
              </w:rPr>
            </w:pPr>
          </w:p>
        </w:tc>
      </w:tr>
    </w:tbl>
    <w:p w14:paraId="42DC6856">
      <w:pPr>
        <w:adjustRightInd w:val="0"/>
        <w:snapToGrid w:val="0"/>
        <w:rPr>
          <w:rFonts w:eastAsiaTheme="minorEastAsia"/>
        </w:rPr>
      </w:pPr>
    </w:p>
    <w:p w14:paraId="6289F30E"/>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9F56FB"/>
    <w:rsid w:val="299F5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2</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2025-12-03T03:04:00Z</dcterms:created>
  <dc:creator>王雪娇</dc:creator>
  <cp:lastModifiedBy>王雪娇</cp:lastModifiedBy>
  <dcterms:modified xsi:type="dcterms:W3CDTF">2025-12-03T03:05:48Z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1D2DBA89D6E6437BB0071D021B122ED0_11</vt:lpwstr>
  </property>
  <property fmtid="{D5CDD505-2E9C-101B-9397-08002B2CF9AE}" pid="4" name="KSOTemplateDocerSaveRecord">
    <vt:lpwstr>eyJoZGlkIjoiODNjM2VkZWUwYjdkZDYzZGY2NmZiZGNiZGIyMjFjYWIiLCJ1c2VySWQiOiIxMjE0ODEzMDc5In0=</vt:lpwstr>
  </property>
</Properties>
</file>