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994DA">
      <w:pPr>
        <w:widowControl/>
        <w:spacing w:after="240"/>
        <w:jc w:val="center"/>
        <w:rPr>
          <w:rFonts w:hint="eastAsia" w:ascii="方正小标宋简体" w:hAnsi="方正小标宋简体" w:eastAsia="方正小标宋简体" w:cs="方正小标宋简体"/>
          <w:bCs/>
          <w:kern w:val="0"/>
          <w:sz w:val="44"/>
          <w:szCs w:val="44"/>
          <w:lang w:val="en-GB" w:bidi="ar-AE"/>
        </w:rPr>
      </w:pPr>
      <w:r>
        <w:rPr>
          <w:rFonts w:hint="eastAsia" w:ascii="方正小标宋简体" w:hAnsi="方正小标宋简体" w:eastAsia="方正小标宋简体" w:cs="方正小标宋简体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2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517"/>
        <w:gridCol w:w="6183"/>
      </w:tblGrid>
      <w:tr w14:paraId="14E85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 w14:paraId="4C163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GB" w:eastAsia="en-GB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0E67FEE3">
            <w:pPr>
              <w:widowControl/>
              <w:adjustRightInd w:val="0"/>
              <w:snapToGrid w:val="0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华润环保发展有限公司收购电投融和新能源发展有限公司股权案</w:t>
            </w:r>
          </w:p>
        </w:tc>
      </w:tr>
      <w:tr w14:paraId="5E89D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 w14:paraId="132171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交易概况</w:t>
            </w:r>
          </w:p>
          <w:p w14:paraId="694FDE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GB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7700" w:type="dxa"/>
            <w:gridSpan w:val="2"/>
            <w:vAlign w:val="top"/>
          </w:tcPr>
          <w:p w14:paraId="7922CB47">
            <w:pPr>
              <w:widowControl/>
              <w:adjustRightInd w:val="0"/>
              <w:snapToGrid w:val="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华润环保发展有限公司（“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  <w:t>华润环保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”）和国家电力投资集团有限公司（“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  <w:t>国电投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”）签署协议，华润环保收购国电投所持有的电投融和新能源发展有限公司（“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  <w:t>电投融和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”）35.64%的股份。电投融和主要从事新能源发电业务，融资租赁、商业保理等类金融业务。交易前，国电投持有电投融和35.64%的股份，单独控制电投融和。交易后，华润环保持有电投融和35.64%的股份，单独控制电投融和。</w:t>
            </w:r>
          </w:p>
        </w:tc>
      </w:tr>
      <w:tr w14:paraId="1E414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E4F6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参与集中的</w:t>
            </w:r>
          </w:p>
          <w:p w14:paraId="0B6D50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GB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517" w:type="dxa"/>
            <w:vAlign w:val="center"/>
          </w:tcPr>
          <w:p w14:paraId="1A7074DF">
            <w:pPr>
              <w:widowControl/>
              <w:adjustRightInd w:val="0"/>
              <w:snapToGrid w:val="0"/>
              <w:rPr>
                <w:rFonts w:hint="eastAsia" w:ascii="Times New Roman" w:hAnsi="Times New Roman" w:eastAsia="宋体" w:cs="Times New Roman"/>
                <w:sz w:val="24"/>
                <w:lang w:val="en-GB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1、华润环保</w:t>
            </w:r>
          </w:p>
        </w:tc>
        <w:tc>
          <w:tcPr>
            <w:tcW w:w="6183" w:type="dxa"/>
            <w:vAlign w:val="center"/>
          </w:tcPr>
          <w:p w14:paraId="0A2CA836">
            <w:pPr>
              <w:widowControl/>
              <w:adjustRightInd w:val="0"/>
              <w:snapToGrid w:val="0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华润环保于2020年4月9日成立于广东省深圳市，主要从事污水、固废、危废等资源化再利用和环保技术服务业务，逐步拓展资源循环领域业务，</w:t>
            </w:r>
            <w:r>
              <w:rPr>
                <w:rFonts w:hint="eastAsia" w:ascii="Times New Roman" w:hAnsi="Times New Roman" w:eastAsia="宋体" w:cs="Times New Roman"/>
                <w:sz w:val="24"/>
              </w:rPr>
              <w:t>包括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再生资源产业园投资建设运营、涉密销毁业务、多品类资源循环业务。</w:t>
            </w:r>
          </w:p>
          <w:p w14:paraId="0B0CB2FC">
            <w:pPr>
              <w:widowControl/>
              <w:adjustRightInd w:val="0"/>
              <w:snapToGrid w:val="0"/>
              <w:rPr>
                <w:rFonts w:hint="eastAsia" w:ascii="Times New Roman" w:hAnsi="Times New Roman" w:eastAsia="宋体" w:cs="Times New Roman"/>
                <w:sz w:val="24"/>
                <w:lang w:val="en-GB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华润环保最终控制人为中国资源循环集团有限公司，主要从事再生钢铁、再生纤维等再生资源循环利用业务，以及功能性资源回收再利用平台开发等再生资源循环延伸板块业务。</w:t>
            </w:r>
          </w:p>
        </w:tc>
      </w:tr>
      <w:tr w14:paraId="19683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2A262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GB" w:eastAsia="zh-CN"/>
              </w:rPr>
            </w:pPr>
          </w:p>
        </w:tc>
        <w:tc>
          <w:tcPr>
            <w:tcW w:w="1517" w:type="dxa"/>
            <w:vAlign w:val="center"/>
          </w:tcPr>
          <w:p w14:paraId="18B509A9">
            <w:pPr>
              <w:widowControl/>
              <w:adjustRightInd w:val="0"/>
              <w:snapToGrid w:val="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2、电投融和</w:t>
            </w:r>
          </w:p>
        </w:tc>
        <w:tc>
          <w:tcPr>
            <w:tcW w:w="6183" w:type="dxa"/>
            <w:vAlign w:val="center"/>
          </w:tcPr>
          <w:p w14:paraId="3FAA64A0">
            <w:pPr>
              <w:widowControl/>
              <w:adjustRightInd w:val="0"/>
              <w:snapToGrid w:val="0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电投融和于2013年12月10日成立于北京市，主要从事新能源发电业务，融资租赁，商业保理等类金融业务。</w:t>
            </w:r>
          </w:p>
          <w:p w14:paraId="0CCD96E0">
            <w:pPr>
              <w:widowControl/>
              <w:adjustRightInd w:val="0"/>
              <w:snapToGrid w:val="0"/>
              <w:rPr>
                <w:rFonts w:hint="eastAsia" w:ascii="Times New Roman" w:hAnsi="Times New Roman" w:eastAsia="宋体" w:cs="Times New Roman"/>
                <w:sz w:val="24"/>
                <w:lang w:val="en-GB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电投融和最终控制人为国家电力投资集团有限公司，主要从事核电、风电、光伏等新能源发电业务，水电、火电、煤炭等传统业务，铝业生产与加工业务，绿电转化业务等。</w:t>
            </w:r>
          </w:p>
        </w:tc>
      </w:tr>
      <w:tr w14:paraId="14308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39EE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GB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top"/>
          </w:tcPr>
          <w:p w14:paraId="56AA606F">
            <w:pPr>
              <w:widowControl/>
              <w:adjustRightInd w:val="0"/>
              <w:snapToGrid w:val="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sym w:font="Wingdings" w:char="F0A8"/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1.在同一相关市场，所有参与集中的经营者所占市场份额之和小于15%。</w:t>
            </w:r>
          </w:p>
        </w:tc>
      </w:tr>
      <w:tr w14:paraId="04900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D5B5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GB" w:eastAsia="zh-CN"/>
              </w:rPr>
            </w:pPr>
          </w:p>
        </w:tc>
        <w:tc>
          <w:tcPr>
            <w:tcW w:w="7700" w:type="dxa"/>
            <w:gridSpan w:val="2"/>
            <w:vAlign w:val="top"/>
          </w:tcPr>
          <w:p w14:paraId="552C6B32">
            <w:pPr>
              <w:widowControl/>
              <w:adjustRightInd w:val="0"/>
              <w:snapToGrid w:val="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sym w:font="Wingdings" w:char="F0A8"/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2.存在上下游关系的参与集中的经营者，在上下游市场所占的市场份额均小于25%。</w:t>
            </w:r>
          </w:p>
        </w:tc>
      </w:tr>
      <w:tr w14:paraId="24CD5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03F42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GB" w:eastAsia="zh-CN"/>
              </w:rPr>
            </w:pPr>
          </w:p>
        </w:tc>
        <w:tc>
          <w:tcPr>
            <w:tcW w:w="7700" w:type="dxa"/>
            <w:gridSpan w:val="2"/>
            <w:vAlign w:val="top"/>
          </w:tcPr>
          <w:p w14:paraId="2FEC0DE4">
            <w:pPr>
              <w:widowControl/>
              <w:adjustRightInd w:val="0"/>
              <w:snapToGrid w:val="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sym w:font="Wingdings" w:char="F0FE"/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 w14:paraId="6699E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681B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GB" w:eastAsia="zh-CN"/>
              </w:rPr>
            </w:pPr>
          </w:p>
        </w:tc>
        <w:tc>
          <w:tcPr>
            <w:tcW w:w="7700" w:type="dxa"/>
            <w:gridSpan w:val="2"/>
            <w:vAlign w:val="top"/>
          </w:tcPr>
          <w:p w14:paraId="53E4C51C">
            <w:pPr>
              <w:widowControl/>
              <w:adjustRightInd w:val="0"/>
              <w:snapToGrid w:val="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sym w:font="Wingdings" w:char="F0A8"/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4.参与集中的经营者在中国境外设立合营企业，合营企业不在中国境内从事经济活动。</w:t>
            </w:r>
          </w:p>
        </w:tc>
      </w:tr>
      <w:tr w14:paraId="04A2E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0F62D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GB" w:eastAsia="zh-CN"/>
              </w:rPr>
            </w:pPr>
          </w:p>
        </w:tc>
        <w:tc>
          <w:tcPr>
            <w:tcW w:w="7700" w:type="dxa"/>
            <w:gridSpan w:val="2"/>
            <w:vAlign w:val="top"/>
          </w:tcPr>
          <w:p w14:paraId="64E7FB1F">
            <w:pPr>
              <w:widowControl/>
              <w:adjustRightInd w:val="0"/>
              <w:snapToGrid w:val="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sym w:font="Wingdings" w:char="F0A8"/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 w14:paraId="3453C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169DF5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GB" w:eastAsia="zh-CN"/>
              </w:rPr>
            </w:pPr>
          </w:p>
        </w:tc>
        <w:tc>
          <w:tcPr>
            <w:tcW w:w="7700" w:type="dxa"/>
            <w:gridSpan w:val="2"/>
            <w:vAlign w:val="top"/>
          </w:tcPr>
          <w:p w14:paraId="5BE16841">
            <w:pPr>
              <w:widowControl/>
              <w:adjustRightInd w:val="0"/>
              <w:snapToGrid w:val="0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sym w:font="Wingdings" w:char="F0A8"/>
            </w:r>
            <w:r>
              <w:rPr>
                <w:rFonts w:hint="default" w:ascii="Times New Roman" w:hAnsi="Times New Roman" w:eastAsia="宋体" w:cs="Times New Roman"/>
                <w:sz w:val="24"/>
              </w:rPr>
              <w:t xml:space="preserve"> 6.由两个以上的经营者共同控制的合营企业，通过集中被其中一个或一个以上经营者控制。</w:t>
            </w:r>
          </w:p>
        </w:tc>
      </w:tr>
      <w:tr w14:paraId="5B460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 w14:paraId="7A3B51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GB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top"/>
          </w:tcPr>
          <w:p w14:paraId="3D3D5632">
            <w:pPr>
              <w:widowControl/>
              <w:adjustRightInd w:val="0"/>
              <w:snapToGrid w:val="0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  <w:t>混合集中：</w:t>
            </w:r>
          </w:p>
          <w:p w14:paraId="19A19D2E">
            <w:pPr>
              <w:widowControl/>
              <w:adjustRightInd w:val="0"/>
              <w:snapToGrid w:val="0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2024年中国境内电力生产和供应市场：</w:t>
            </w:r>
          </w:p>
          <w:p w14:paraId="6E0AAA18">
            <w:pPr>
              <w:widowControl/>
              <w:adjustRightInd w:val="0"/>
              <w:snapToGrid w:val="0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电投融和：0-5%</w:t>
            </w:r>
          </w:p>
          <w:p w14:paraId="2BF019B1">
            <w:pPr>
              <w:widowControl/>
              <w:adjustRightInd w:val="0"/>
              <w:snapToGrid w:val="0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2024年中国境内融资租赁市场：</w:t>
            </w:r>
          </w:p>
          <w:p w14:paraId="1B2280A0">
            <w:pPr>
              <w:widowControl/>
              <w:adjustRightInd w:val="0"/>
              <w:snapToGrid w:val="0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电投融和：0-5%</w:t>
            </w:r>
          </w:p>
          <w:p w14:paraId="771F73F3">
            <w:pPr>
              <w:widowControl/>
              <w:adjustRightInd w:val="0"/>
              <w:snapToGrid w:val="0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2024年中国境内商业保理服务市场：</w:t>
            </w:r>
          </w:p>
          <w:p w14:paraId="16B34C81">
            <w:pPr>
              <w:widowControl/>
              <w:adjustRightInd w:val="0"/>
              <w:snapToGrid w:val="0"/>
              <w:rPr>
                <w:rFonts w:hint="eastAsia" w:ascii="Times New Roman" w:hAnsi="Times New Roman" w:eastAsia="宋体" w:cs="Times New Roman"/>
                <w:sz w:val="24"/>
                <w:lang w:val="en-GB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电投融和：0-5%</w:t>
            </w:r>
          </w:p>
        </w:tc>
      </w:tr>
    </w:tbl>
    <w:p w14:paraId="140935B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A71C07"/>
    <w:rsid w:val="04A7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2025-12-11T01:59:00Z</dcterms:created>
  <dc:creator>汗青</dc:creator>
  <cp:lastModifiedBy>汗青</cp:lastModifiedBy>
  <dcterms:modified xsi:type="dcterms:W3CDTF">2025-12-11T01:59:23Z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1C879B06E1124D07B55D08700D80333F_11</vt:lpwstr>
  </property>
  <property fmtid="{D5CDD505-2E9C-101B-9397-08002B2CF9AE}" pid="4" name="KSOTemplateDocerSaveRecord">
    <vt:lpwstr>eyJoZGlkIjoiNDQzMGY5ZWI0OWM3ZDY2ZDVhMWJmNzNkNjA0OTkyOWYiLCJ1c2VySWQiOiIzNzgxNDI0MDcifQ==</vt:lpwstr>
  </property>
</Properties>
</file>