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76577">
      <w:pPr>
        <w:widowControl/>
        <w:spacing w:after="24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bidi="ar"/>
        </w:rPr>
        <w:t>经营者集中简易案件公示表</w:t>
      </w:r>
    </w:p>
    <w:tbl>
      <w:tblPr>
        <w:tblStyle w:val="3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 w14:paraId="78EA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61547E05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68587688">
            <w:pPr>
              <w:widowControl/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sz w:val="24"/>
              </w:rPr>
              <w:t>承就有限公司收购广州聚达投资发展有限公司股权案</w:t>
            </w:r>
          </w:p>
        </w:tc>
      </w:tr>
      <w:tr w14:paraId="33BD5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601B2BD9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495ED38">
            <w:pPr>
              <w:widowControl/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承就有限公司（“承就公司”）与广州珠江产业园投资发展有限公司（“珠江产投”）签署协议，承就公司拟通过增资入股的方式取得广州聚达投资发展有限公司（“聚达投资”）50%的股权。聚达投资拟从事大型零售商业地产的开发与运营业务。交易前，珠江产投持有聚达投资100%的股权，并单独控制聚达投资。交易后，承就公司和珠江产投将分别持有聚达投资50%的股权并共同控制聚达投资。</w:t>
            </w:r>
          </w:p>
        </w:tc>
      </w:tr>
      <w:tr w14:paraId="680D0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EF28CF1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 w14:paraId="17E73C35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1.</w:t>
            </w:r>
            <w:r>
              <w:rPr>
                <w:rFonts w:hint="eastAsia"/>
                <w:bCs/>
                <w:color w:val="000000"/>
                <w:sz w:val="24"/>
              </w:rPr>
              <w:t>承就公司</w:t>
            </w:r>
          </w:p>
        </w:tc>
        <w:tc>
          <w:tcPr>
            <w:tcW w:w="6224" w:type="dxa"/>
            <w:vAlign w:val="center"/>
          </w:tcPr>
          <w:p w14:paraId="293E2033">
            <w:pPr>
              <w:pStyle w:val="2"/>
              <w:widowControl/>
              <w:adjustRightInd w:val="0"/>
              <w:snapToGrid w:val="0"/>
              <w:spacing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承就公司于2022年3月11日成立于中国香港，主要从事房地产相关业务。</w:t>
            </w:r>
          </w:p>
          <w:p w14:paraId="26E86C19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sz w:val="24"/>
              </w:rPr>
              <w:t>承就公司的最终控制人为太古股份有限公司，为香港上市公司，主要从事地产、饮料及航空业务以及医疗保健和可持续食品等新领域的业务。</w:t>
            </w:r>
          </w:p>
        </w:tc>
      </w:tr>
      <w:tr w14:paraId="68C8F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891E4AA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2D549281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2.</w:t>
            </w:r>
            <w:r>
              <w:rPr>
                <w:rFonts w:hint="eastAsia"/>
                <w:bCs/>
                <w:color w:val="000000"/>
                <w:sz w:val="24"/>
              </w:rPr>
              <w:t>珠江产投</w:t>
            </w:r>
          </w:p>
        </w:tc>
        <w:tc>
          <w:tcPr>
            <w:tcW w:w="6224" w:type="dxa"/>
            <w:vAlign w:val="center"/>
          </w:tcPr>
          <w:p w14:paraId="4C7627CE">
            <w:pPr>
              <w:pStyle w:val="2"/>
              <w:widowControl/>
              <w:adjustRightInd w:val="0"/>
              <w:snapToGrid w:val="0"/>
              <w:spacing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珠江产投于2020年6月5日成立于广东省广州市，主要从事房地产相关业务。</w:t>
            </w:r>
          </w:p>
          <w:p w14:paraId="64A8E2F8">
            <w:pPr>
              <w:pStyle w:val="2"/>
              <w:widowControl/>
              <w:adjustRightInd w:val="0"/>
              <w:snapToGrid w:val="0"/>
              <w:spacing w:after="0"/>
              <w:rPr>
                <w:sz w:val="24"/>
              </w:rPr>
            </w:pPr>
            <w:r>
              <w:rPr>
                <w:rFonts w:hint="eastAsia"/>
                <w:sz w:val="24"/>
              </w:rPr>
              <w:t>珠江产投的最终控制人为广州珠江实业集团有限公司，主要从事城市建设与开发、产业园区投融资与开发建设运营等业务。</w:t>
            </w:r>
          </w:p>
        </w:tc>
      </w:tr>
      <w:tr w14:paraId="4373C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6A2A62A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192BC1C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FE"/>
            </w:r>
            <w:r>
              <w:rPr>
                <w:bCs/>
                <w:color w:val="000000"/>
                <w:sz w:val="24"/>
              </w:rPr>
              <w:t xml:space="preserve"> 1、在同一相关市场，所有参与集中的经营者所占市场份额之和小于15%。</w:t>
            </w:r>
          </w:p>
        </w:tc>
      </w:tr>
      <w:tr w14:paraId="1B56B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19809373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4104471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FE"/>
            </w:r>
            <w:r>
              <w:rPr>
                <w:bCs/>
                <w:color w:val="000000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 w14:paraId="1C33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A3F44F1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571B193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6686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E6EAFDA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26AC11E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5241A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2663075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8033BEF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0E7C0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9FB2629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86B9E1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4684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</w:trPr>
        <w:tc>
          <w:tcPr>
            <w:tcW w:w="1940" w:type="dxa"/>
            <w:shd w:val="clear" w:color="auto" w:fill="D9D9D9"/>
            <w:vAlign w:val="center"/>
          </w:tcPr>
          <w:p w14:paraId="2D052D9F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6B4E257A">
            <w:pPr>
              <w:pStyle w:val="2"/>
              <w:widowControl/>
              <w:adjustRightInd w:val="0"/>
              <w:snapToGrid w:val="0"/>
              <w:spacing w:after="0"/>
              <w:rPr>
                <w:rFonts w:hint="eastAsia"/>
                <w:b/>
                <w:color w:val="000000"/>
                <w:kern w:val="0"/>
                <w:sz w:val="24"/>
                <w:lang w:val="en-GB"/>
              </w:rPr>
            </w:pPr>
            <w:r>
              <w:rPr>
                <w:rFonts w:hint="eastAsia"/>
                <w:b/>
                <w:color w:val="000000"/>
                <w:kern w:val="0"/>
                <w:sz w:val="24"/>
                <w:lang w:val="en-GB"/>
              </w:rPr>
              <w:t>横向重叠：</w:t>
            </w:r>
          </w:p>
          <w:p w14:paraId="5AB54643">
            <w:pPr>
              <w:pStyle w:val="2"/>
              <w:widowControl/>
              <w:adjustRightInd w:val="0"/>
              <w:snapToGrid w:val="0"/>
              <w:spacing w:after="0"/>
              <w:rPr>
                <w:rFonts w:hint="eastAsia"/>
                <w:b w:val="0"/>
                <w:bCs/>
                <w:color w:val="000000"/>
                <w:kern w:val="0"/>
                <w:sz w:val="24"/>
                <w:lang w:val="en-GB"/>
              </w:rPr>
            </w:pPr>
            <w:r>
              <w:rPr>
                <w:rFonts w:hint="eastAsia"/>
                <w:b w:val="0"/>
                <w:bCs/>
                <w:color w:val="000000"/>
                <w:kern w:val="0"/>
                <w:sz w:val="24"/>
                <w:lang w:val="en-GB"/>
              </w:rPr>
              <w:t>2024年广州市大型零售商业地产开发与运营市场：</w:t>
            </w:r>
          </w:p>
          <w:p w14:paraId="021F530D">
            <w:pPr>
              <w:pStyle w:val="2"/>
              <w:widowControl/>
              <w:adjustRightInd w:val="0"/>
              <w:snapToGrid w:val="0"/>
              <w:spacing w:after="0"/>
              <w:rPr>
                <w:b w:val="0"/>
                <w:bCs/>
                <w:color w:val="000000"/>
                <w:kern w:val="0"/>
                <w:sz w:val="24"/>
                <w:lang w:val="en-GB"/>
              </w:rPr>
            </w:pPr>
            <w:r>
              <w:rPr>
                <w:rFonts w:hint="eastAsia"/>
                <w:b w:val="0"/>
                <w:bCs/>
                <w:color w:val="000000"/>
                <w:kern w:val="0"/>
                <w:sz w:val="24"/>
                <w:lang w:val="en-GB"/>
              </w:rPr>
              <w:t>承就公司：0-5%，珠江产投：0-5%，各方合计：0-5%</w:t>
            </w:r>
          </w:p>
          <w:p w14:paraId="109F76CA">
            <w:pPr>
              <w:pStyle w:val="2"/>
              <w:widowControl/>
              <w:adjustRightInd w:val="0"/>
              <w:snapToGrid w:val="0"/>
              <w:spacing w:after="0"/>
              <w:rPr>
                <w:rFonts w:hint="eastAsia"/>
                <w:bCs/>
                <w:color w:val="000000"/>
                <w:kern w:val="0"/>
                <w:sz w:val="24"/>
              </w:rPr>
            </w:pPr>
          </w:p>
          <w:p w14:paraId="55956216">
            <w:pPr>
              <w:pStyle w:val="2"/>
              <w:widowControl/>
              <w:adjustRightInd w:val="0"/>
              <w:snapToGrid w:val="0"/>
              <w:spacing w:after="0"/>
              <w:rPr>
                <w:rFonts w:hint="eastAsia"/>
                <w:b/>
                <w:bCs w:val="0"/>
                <w:color w:val="000000"/>
                <w:kern w:val="0"/>
                <w:sz w:val="24"/>
              </w:rPr>
            </w:pPr>
            <w:r>
              <w:rPr>
                <w:rFonts w:hint="eastAsia"/>
                <w:b/>
                <w:bCs w:val="0"/>
                <w:color w:val="000000"/>
                <w:kern w:val="0"/>
                <w:sz w:val="24"/>
              </w:rPr>
              <w:t>纵向关联：</w:t>
            </w:r>
          </w:p>
          <w:tbl>
            <w:tblPr>
              <w:tblStyle w:val="3"/>
              <w:tblW w:w="7453" w:type="dxa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659"/>
              <w:gridCol w:w="1734"/>
              <w:gridCol w:w="3060"/>
            </w:tblGrid>
            <w:tr w14:paraId="4A0912F5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52" w:hRule="atLeast"/>
              </w:trPr>
              <w:tc>
                <w:tcPr>
                  <w:tcW w:w="26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25F76644">
                  <w:pPr>
                    <w:pStyle w:val="2"/>
                    <w:adjustRightInd w:val="0"/>
                    <w:snapToGrid w:val="0"/>
                    <w:spacing w:after="0"/>
                    <w:jc w:val="center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相关商品市场</w:t>
                  </w:r>
                </w:p>
              </w:tc>
              <w:tc>
                <w:tcPr>
                  <w:tcW w:w="17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0D10C457">
                  <w:pPr>
                    <w:pStyle w:val="2"/>
                    <w:adjustRightInd w:val="0"/>
                    <w:snapToGrid w:val="0"/>
                    <w:spacing w:after="0"/>
                    <w:jc w:val="center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相关地域市场</w:t>
                  </w:r>
                </w:p>
              </w:tc>
              <w:tc>
                <w:tcPr>
                  <w:tcW w:w="30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0A8FBB09">
                  <w:pPr>
                    <w:pStyle w:val="2"/>
                    <w:adjustRightInd w:val="0"/>
                    <w:snapToGrid w:val="0"/>
                    <w:spacing w:after="0"/>
                    <w:jc w:val="center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2024年市场份额</w:t>
                  </w:r>
                </w:p>
              </w:tc>
            </w:tr>
            <w:tr w14:paraId="36ADCFCF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756" w:hRule="atLeast"/>
              </w:trPr>
              <w:tc>
                <w:tcPr>
                  <w:tcW w:w="2659" w:type="dxa"/>
                  <w:tcBorders>
                    <w:top w:val="single" w:color="000000" w:sz="4" w:space="0"/>
                    <w:left w:val="single" w:color="000000" w:sz="4" w:space="0"/>
                    <w:bottom w:val="nil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25313E6B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color w:val="000000"/>
                      <w:sz w:val="24"/>
                      <w:szCs w:val="24"/>
                      <w:lang w:eastAsia="zh-CN"/>
                    </w:rPr>
                    <w:t>上游：</w:t>
                  </w: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商业物业管理服务市场</w:t>
                  </w:r>
                </w:p>
              </w:tc>
              <w:tc>
                <w:tcPr>
                  <w:tcW w:w="1734" w:type="dxa"/>
                  <w:tcBorders>
                    <w:top w:val="single" w:color="000000" w:sz="4" w:space="0"/>
                    <w:left w:val="single" w:color="000000" w:sz="4" w:space="0"/>
                    <w:bottom w:val="nil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2195CC54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color w:val="000000"/>
                      <w:sz w:val="24"/>
                      <w:szCs w:val="24"/>
                      <w:lang w:eastAsia="zh-CN"/>
                    </w:rPr>
                    <w:t>上游：广州市</w:t>
                  </w:r>
                </w:p>
              </w:tc>
              <w:tc>
                <w:tcPr>
                  <w:tcW w:w="3060" w:type="dxa"/>
                  <w:tcBorders>
                    <w:top w:val="single" w:color="000000" w:sz="4" w:space="0"/>
                    <w:left w:val="single" w:color="000000" w:sz="4" w:space="0"/>
                    <w:bottom w:val="nil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60EE5714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上游：广州市商业物业管理服务市场</w:t>
                  </w:r>
                </w:p>
                <w:p w14:paraId="1200C6E1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Times New Roman"/>
                      <w:sz w:val="24"/>
                      <w:szCs w:val="24"/>
                      <w:lang w:eastAsia="zh-CN"/>
                    </w:rPr>
                    <w:t>珠江产投</w:t>
                  </w: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：</w:t>
                  </w:r>
                  <w:r>
                    <w:rPr>
                      <w:rFonts w:hint="eastAsia" w:cs="Times New Roman"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-1</w:t>
                  </w:r>
                  <w:r>
                    <w:rPr>
                      <w:rFonts w:hint="eastAsia" w:cs="Times New Roman"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0</w:t>
                  </w: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%</w:t>
                  </w:r>
                </w:p>
              </w:tc>
            </w:tr>
            <w:tr w14:paraId="7A2F3E57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756" w:hRule="atLeast"/>
              </w:trPr>
              <w:tc>
                <w:tcPr>
                  <w:tcW w:w="2659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1836B62F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eastAsia="zh-CN"/>
                    </w:rPr>
                    <w:t>下游：</w:t>
                  </w:r>
                  <w:r>
                    <w:rPr>
                      <w:rFonts w:hint="eastAsia" w:cs="Times New Roman"/>
                      <w:color w:val="000000"/>
                      <w:sz w:val="24"/>
                      <w:szCs w:val="24"/>
                      <w:lang w:eastAsia="zh-CN"/>
                    </w:rPr>
                    <w:t>大</w:t>
                  </w:r>
                  <w:r>
                    <w:rPr>
                      <w:rFonts w:hint="default" w:ascii="Times New Roman" w:hAnsi="Times New Roman" w:cs="Times New Roman"/>
                      <w:color w:val="000000"/>
                      <w:sz w:val="24"/>
                      <w:szCs w:val="24"/>
                      <w:lang w:eastAsia="zh-CN"/>
                    </w:rPr>
                    <w:t>型零售商业地产开发</w:t>
                  </w:r>
                  <w:r>
                    <w:rPr>
                      <w:rFonts w:hint="eastAsia" w:cs="Times New Roman"/>
                      <w:color w:val="000000"/>
                      <w:sz w:val="24"/>
                      <w:szCs w:val="24"/>
                      <w:lang w:eastAsia="zh-CN"/>
                    </w:rPr>
                    <w:t>与</w:t>
                  </w:r>
                  <w:r>
                    <w:rPr>
                      <w:rFonts w:hint="default" w:ascii="Times New Roman" w:hAnsi="Times New Roman" w:cs="Times New Roman"/>
                      <w:color w:val="000000"/>
                      <w:sz w:val="24"/>
                      <w:szCs w:val="24"/>
                      <w:lang w:eastAsia="zh-CN"/>
                    </w:rPr>
                    <w:t>运营市场</w:t>
                  </w: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 xml:space="preserve"> </w:t>
                  </w:r>
                </w:p>
              </w:tc>
              <w:tc>
                <w:tcPr>
                  <w:tcW w:w="173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6A314056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color w:val="00000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color w:val="000000"/>
                      <w:sz w:val="24"/>
                      <w:szCs w:val="24"/>
                      <w:lang w:val="en-US" w:eastAsia="zh-CN"/>
                    </w:rPr>
                    <w:t>下游：广州市</w:t>
                  </w:r>
                </w:p>
              </w:tc>
              <w:tc>
                <w:tcPr>
                  <w:tcW w:w="306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3DCFC3AA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下游：广州市</w:t>
                  </w:r>
                  <w:r>
                    <w:rPr>
                      <w:rFonts w:hint="eastAsia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大</w:t>
                  </w: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型零售商业地产开发</w:t>
                  </w:r>
                  <w:r>
                    <w:rPr>
                      <w:rFonts w:hint="eastAsia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与</w:t>
                  </w: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运营市场</w:t>
                  </w:r>
                </w:p>
                <w:p w14:paraId="391044C8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如上所述</w:t>
                  </w:r>
                </w:p>
              </w:tc>
            </w:tr>
          </w:tbl>
          <w:p w14:paraId="16FBBA74">
            <w:pPr>
              <w:pStyle w:val="2"/>
              <w:widowControl/>
              <w:adjustRightInd w:val="0"/>
              <w:snapToGrid w:val="0"/>
              <w:spacing w:after="0"/>
              <w:rPr>
                <w:rFonts w:hint="eastAsia"/>
                <w:bCs/>
                <w:color w:val="000000"/>
                <w:kern w:val="0"/>
                <w:sz w:val="24"/>
              </w:rPr>
            </w:pPr>
          </w:p>
        </w:tc>
      </w:tr>
    </w:tbl>
    <w:p w14:paraId="10A8279F">
      <w:pPr>
        <w:adjustRightInd w:val="0"/>
        <w:snapToGrid w:val="0"/>
        <w:rPr>
          <w:rFonts w:eastAsiaTheme="minorEastAsia"/>
        </w:rPr>
      </w:pPr>
    </w:p>
    <w:p w14:paraId="1E4D190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170ABD"/>
    <w:rsid w:val="6517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2025-12-24T03:09:00Z</dcterms:created>
  <dc:creator>郑玉丽</dc:creator>
  <cp:lastModifiedBy>郑玉丽</cp:lastModifiedBy>
  <dcterms:modified xsi:type="dcterms:W3CDTF">2025-12-24T03:10:28Z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7C55036BB2C64D65B7A950A3276D88C5_11</vt:lpwstr>
  </property>
  <property fmtid="{D5CDD505-2E9C-101B-9397-08002B2CF9AE}" pid="4" name="KSOTemplateDocerSaveRecord">
    <vt:lpwstr>eyJoZGlkIjoiODNjM2VkZWUwYjdkZDYzZGY2NmZiZGNiZGIyMjFjYWIiLCJ1c2VySWQiOiIxMjE0ODEzMDc5In0=</vt:lpwstr>
  </property>
</Properties>
</file>