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经营者集中简易案件公示表</w:t>
      </w:r>
    </w:p>
    <w:tbl>
      <w:tblPr>
        <w:tblStyle w:val="29"/>
        <w:tblW w:w="9876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75"/>
        <w:gridCol w:w="6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spacing w:after="0"/>
              <w:jc w:val="left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jc w:val="left"/>
              <w:rPr>
                <w:rFonts w:cs="Arial" w:asciiTheme="minorEastAsia" w:hAnsiTheme="minorEastAsia" w:eastAsiaTheme="minorEastAsia"/>
                <w:b/>
                <w:color w:val="0000FF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lang w:val="en-US"/>
              </w:rPr>
              <w:t>起源发展信托与华平投资有限责任公司等经营者新设合营企业案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起源发展信托（“起源信托”）、</w:t>
            </w:r>
            <w:bookmarkStart w:id="0" w:name="_GoBack"/>
            <w:bookmarkEnd w:id="0"/>
            <w:r>
              <w:rPr>
                <w:rFonts w:hint="eastAsia" w:ascii="宋体" w:hAnsi="宋体" w:cs="Arial"/>
                <w:color w:val="000000"/>
                <w:lang w:val="en-US"/>
              </w:rPr>
              <w:t>华平投资有限责任公司（“华平投资”，通过其关联公司）与Hale资本澳大利亚投资第三信托（“Hale信托”）拟共同设立合营企业，以投资澳大利亚境内用于通用仓储、制造业地产、数据中心及冷库用途的一系列房地产项目。</w:t>
            </w:r>
          </w:p>
          <w:p>
            <w:pPr>
              <w:snapToGrid w:val="0"/>
              <w:spacing w:after="0"/>
              <w:rPr>
                <w:rFonts w:hint="eastAsia" w:ascii="宋体" w:hAnsi="宋体" w:eastAsia="宋体" w:cs="Arial"/>
                <w:color w:val="000000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通过本次交易，起源信托、华平投资（通过其关联公司）和Hale信托将通过其各自的受托人分别认购合营企业中49.202%、49.202%和1.596%的基金单位。同时，Hale信托的关联方Hale资本基金管理私人有限公司（“Hale管理”）将担任合营企业的受托人。</w:t>
            </w:r>
          </w:p>
          <w:p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本次交易后，通过各自的受托人，起源信托</w:t>
            </w:r>
            <w:r>
              <w:rPr>
                <w:rFonts w:hint="eastAsia" w:ascii="宋体" w:hAnsi="宋体" w:cs="Arial"/>
                <w:color w:val="000000"/>
                <w:lang w:val="en-US" w:eastAsia="zh-CN"/>
              </w:rPr>
              <w:t>、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华平投资</w:t>
            </w:r>
            <w:r>
              <w:rPr>
                <w:rFonts w:hint="eastAsia" w:ascii="宋体" w:hAnsi="宋体" w:cs="Arial"/>
                <w:color w:val="000000"/>
                <w:lang w:val="en-US" w:eastAsia="zh-CN"/>
              </w:rPr>
              <w:t>、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Hale信托将</w:t>
            </w:r>
            <w:r>
              <w:rPr>
                <w:rFonts w:hint="eastAsia" w:ascii="宋体" w:hAnsi="宋体" w:cs="Arial"/>
                <w:color w:val="000000"/>
                <w:lang w:val="en-US" w:eastAsia="zh-CN"/>
              </w:rPr>
              <w:t>分别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持有合营企业中4</w:t>
            </w:r>
            <w:r>
              <w:rPr>
                <w:rFonts w:ascii="宋体" w:hAnsi="宋体" w:cs="Arial"/>
                <w:color w:val="000000"/>
                <w:lang w:val="en-US"/>
              </w:rPr>
              <w:t>9.202%</w:t>
            </w:r>
            <w:r>
              <w:rPr>
                <w:rFonts w:hint="eastAsia" w:ascii="宋体" w:hAnsi="宋体" w:cs="Arial"/>
                <w:color w:val="000000"/>
                <w:lang w:val="en-US" w:eastAsia="zh-CN"/>
              </w:rPr>
              <w:t>、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4</w:t>
            </w:r>
            <w:r>
              <w:rPr>
                <w:rFonts w:ascii="宋体" w:hAnsi="宋体" w:cs="Arial"/>
                <w:color w:val="000000"/>
                <w:lang w:val="en-US"/>
              </w:rPr>
              <w:t>9.202%</w:t>
            </w:r>
            <w:r>
              <w:rPr>
                <w:rFonts w:hint="eastAsia" w:ascii="宋体" w:hAnsi="宋体" w:cs="Arial"/>
                <w:color w:val="000000"/>
                <w:lang w:val="en-US" w:eastAsia="zh-CN"/>
              </w:rPr>
              <w:t>、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1</w:t>
            </w:r>
            <w:r>
              <w:rPr>
                <w:rFonts w:ascii="宋体" w:hAnsi="宋体" w:cs="Arial"/>
                <w:color w:val="000000"/>
                <w:lang w:val="en-US"/>
              </w:rPr>
              <w:t>.596%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的基金单位，共同控制合营企业。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</w:rPr>
            </w:pPr>
            <w:r>
              <w:rPr>
                <w:rFonts w:hint="eastAsia" w:cs="Times" w:asciiTheme="minorEastAsia" w:hAnsiTheme="minorEastAsia" w:eastAsiaTheme="minorEastAsia"/>
              </w:rPr>
              <w:t>参与集中的经营者简介（每个限1</w:t>
            </w:r>
            <w:r>
              <w:rPr>
                <w:rFonts w:cs="Times" w:asciiTheme="minorEastAsia" w:hAnsiTheme="minorEastAsia" w:eastAsiaTheme="minorEastAsia"/>
              </w:rPr>
              <w:t>00</w:t>
            </w:r>
            <w:r>
              <w:rPr>
                <w:rFonts w:hint="eastAsia" w:cs="Times" w:asciiTheme="minorEastAsia" w:hAnsiTheme="minorEastAsia" w:eastAsiaTheme="minorEastAsia"/>
              </w:rPr>
              <w:t>字以内）</w:t>
            </w:r>
          </w:p>
        </w:tc>
        <w:tc>
          <w:tcPr>
            <w:tcW w:w="1775" w:type="dxa"/>
            <w:shd w:val="clear" w:color="auto" w:fill="auto"/>
            <w:vAlign w:val="center"/>
          </w:tcPr>
          <w:p>
            <w:pPr>
              <w:pStyle w:val="3"/>
              <w:numPr>
                <w:ilvl w:val="0"/>
                <w:numId w:val="20"/>
              </w:numPr>
              <w:spacing w:after="0"/>
              <w:jc w:val="left"/>
              <w:rPr>
                <w:rFonts w:cs="Arial" w:asciiTheme="minorEastAsia" w:hAnsiTheme="minorEastAsia" w:eastAsiaTheme="minorEastAsia"/>
                <w:color w:val="000000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</w:rPr>
              <w:t>起源信托</w:t>
            </w:r>
          </w:p>
        </w:tc>
        <w:tc>
          <w:tcPr>
            <w:tcW w:w="6161" w:type="dxa"/>
            <w:shd w:val="clear" w:color="auto" w:fill="auto"/>
            <w:vAlign w:val="center"/>
          </w:tcPr>
          <w:p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起源信托于2</w:t>
            </w:r>
            <w:r>
              <w:rPr>
                <w:rFonts w:ascii="宋体" w:hAnsi="宋体" w:cs="Arial"/>
                <w:color w:val="000000"/>
                <w:lang w:val="en-US"/>
              </w:rPr>
              <w:t>025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年9月2</w:t>
            </w:r>
            <w:r>
              <w:rPr>
                <w:rFonts w:ascii="宋体" w:hAnsi="宋体" w:cs="Arial"/>
                <w:color w:val="000000"/>
                <w:lang w:val="en-US"/>
              </w:rPr>
              <w:t>4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日在澳大利亚成立，是一家信托基金，主要业务为在澳大利亚房地产领域进行投资。</w:t>
            </w:r>
          </w:p>
          <w:p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起源信托的最终控制人</w:t>
            </w:r>
            <w:r>
              <w:rPr>
                <w:rFonts w:ascii="宋体" w:hAnsi="宋体" w:cs="Arial"/>
                <w:color w:val="000000"/>
                <w:lang w:val="en-US"/>
              </w:rPr>
              <w:t>为GIC (Realty) Private Limited(“GIC Realty”)。GIC Realty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的</w:t>
            </w:r>
            <w:r>
              <w:rPr>
                <w:rFonts w:ascii="宋体" w:hAnsi="宋体" w:cs="Arial"/>
                <w:color w:val="000000"/>
                <w:lang w:val="en-US"/>
              </w:rPr>
              <w:t>主要业务为从事房地产投资。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>
            <w:pPr>
              <w:pStyle w:val="3"/>
              <w:numPr>
                <w:ilvl w:val="0"/>
                <w:numId w:val="20"/>
              </w:numPr>
              <w:spacing w:after="0"/>
              <w:jc w:val="left"/>
              <w:rPr>
                <w:rFonts w:cs="Arial" w:asciiTheme="minorEastAsia" w:hAnsiTheme="minorEastAsia" w:eastAsiaTheme="minorEastAsia"/>
                <w:color w:val="000000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</w:rPr>
              <w:t>华平投资</w:t>
            </w:r>
          </w:p>
        </w:tc>
        <w:tc>
          <w:tcPr>
            <w:tcW w:w="6161" w:type="dxa"/>
            <w:shd w:val="clear" w:color="auto" w:fill="auto"/>
            <w:vAlign w:val="center"/>
          </w:tcPr>
          <w:p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华平投资于1</w:t>
            </w:r>
            <w:r>
              <w:rPr>
                <w:rFonts w:ascii="宋体" w:hAnsi="宋体" w:cs="Arial"/>
                <w:color w:val="000000"/>
                <w:lang w:val="en-US"/>
              </w:rPr>
              <w:t>996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年在美国成立，是一家全球性私募股权投资公司，其投资组合公司活跃在消费、能源、金融服务、医疗保健、工业和商业服务、房地产及科技、传媒和通信等领域。</w:t>
            </w:r>
          </w:p>
          <w:p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华平投资的最终控制人为自然人，与华平投资的主营业务相同。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>
            <w:pPr>
              <w:pStyle w:val="3"/>
              <w:numPr>
                <w:ilvl w:val="0"/>
                <w:numId w:val="20"/>
              </w:numPr>
              <w:spacing w:after="0"/>
              <w:jc w:val="left"/>
              <w:rPr>
                <w:rFonts w:cs="Arial" w:asciiTheme="minorEastAsia" w:hAnsiTheme="minorEastAsia" w:eastAsiaTheme="minorEastAsia"/>
                <w:color w:val="000000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</w:rPr>
              <w:t>Hale信托</w:t>
            </w:r>
          </w:p>
        </w:tc>
        <w:tc>
          <w:tcPr>
            <w:tcW w:w="6161" w:type="dxa"/>
            <w:shd w:val="clear" w:color="auto" w:fill="auto"/>
            <w:vAlign w:val="center"/>
          </w:tcPr>
          <w:p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/>
                <w:color w:val="000000"/>
                <w:lang w:val="en-US"/>
              </w:rPr>
              <w:t>Hale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信托于2</w:t>
            </w:r>
            <w:r>
              <w:rPr>
                <w:rFonts w:ascii="宋体" w:hAnsi="宋体" w:cs="Arial"/>
                <w:color w:val="000000"/>
                <w:lang w:val="en-US"/>
              </w:rPr>
              <w:t>025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年9月1</w:t>
            </w:r>
            <w:r>
              <w:rPr>
                <w:rFonts w:ascii="宋体" w:hAnsi="宋体" w:cs="Arial"/>
                <w:color w:val="000000"/>
                <w:lang w:val="en-US"/>
              </w:rPr>
              <w:t>7</w:t>
            </w:r>
            <w:r>
              <w:rPr>
                <w:rFonts w:hint="eastAsia" w:ascii="宋体" w:hAnsi="宋体" w:cs="Arial"/>
                <w:color w:val="000000"/>
                <w:lang w:val="en-US"/>
              </w:rPr>
              <w:t>日在澳大利亚成立，是一家信托基金，主要业务为在澳大利亚间接持有房地产投资组合。</w:t>
            </w:r>
          </w:p>
          <w:p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Hale信托的最终控制人为Hale资本集团私人有限公司（“Hale资本”）。Hale资本的主要业务为工业地产投资的资金管理。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t>□</w:t>
            </w:r>
            <w:r>
              <w:rPr>
                <w:rFonts w:asciiTheme="minorEastAsia" w:hAnsiTheme="minorEastAsia" w:eastAsiaTheme="minorEastAsia"/>
                <w:color w:val="FF0000"/>
              </w:rPr>
              <w:t xml:space="preserve"> </w:t>
            </w:r>
            <w:r>
              <w:rPr>
                <w:rFonts w:asciiTheme="minorEastAsia" w:hAnsiTheme="minorEastAsia" w:eastAsiaTheme="minorEastAsia"/>
              </w:rPr>
              <w:t>1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在同一相关市场，参与集中的经营者所占</w:t>
            </w:r>
            <w:r>
              <w:rPr>
                <w:rFonts w:hint="eastAsia" w:asciiTheme="minorEastAsia" w:hAnsiTheme="minorEastAsia" w:eastAsiaTheme="minorEastAsia"/>
              </w:rPr>
              <w:t>的</w:t>
            </w:r>
            <w:r>
              <w:rPr>
                <w:rFonts w:asciiTheme="minorEastAsia" w:hAnsiTheme="minorEastAsia" w:eastAsiaTheme="minorEastAsia"/>
              </w:rPr>
              <w:t>市场份额之和小于</w:t>
            </w:r>
            <w:r>
              <w:rPr>
                <w:rFonts w:asciiTheme="minorEastAsia" w:hAnsiTheme="minorEastAsia" w:eastAsiaTheme="minorEastAsia"/>
                <w:color w:val="000000"/>
              </w:rPr>
              <w:t>15%</w:t>
            </w:r>
            <w:r>
              <w:rPr>
                <w:rFonts w:asciiTheme="minorEastAsia" w:hAnsiTheme="minorEastAsia" w:eastAsiaTheme="minor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jc w:val="left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t>□ 2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在上下游</w:t>
            </w:r>
            <w:r>
              <w:rPr>
                <w:rFonts w:hint="eastAsia" w:asciiTheme="minorEastAsia" w:hAnsiTheme="minorEastAsia" w:eastAsiaTheme="minorEastAsia"/>
              </w:rPr>
              <w:t>市场，</w:t>
            </w:r>
            <w:r>
              <w:rPr>
                <w:rFonts w:asciiTheme="minorEastAsia" w:hAnsiTheme="minorEastAsia" w:eastAsiaTheme="minorEastAsia"/>
              </w:rPr>
              <w:t>参与集中的经营者所占的市场份额均小于</w:t>
            </w:r>
            <w:r>
              <w:rPr>
                <w:rFonts w:asciiTheme="minorEastAsia" w:hAnsiTheme="minorEastAsia" w:eastAsiaTheme="minorEastAsia"/>
                <w:color w:val="000000"/>
              </w:rPr>
              <w:t>25%</w:t>
            </w:r>
            <w:r>
              <w:rPr>
                <w:rFonts w:asciiTheme="minorEastAsia" w:hAnsiTheme="minorEastAsia" w:eastAsiaTheme="minor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jc w:val="left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t>□ 3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不在同一相关市场也不存在上下游关系的参与集中的经营者，在与交易有关的每个市场所占的份额均小于25%。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jc w:val="left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sym w:font="Wingdings" w:char="F0FE"/>
            </w:r>
            <w:r>
              <w:rPr>
                <w:rFonts w:asciiTheme="minorEastAsia" w:hAnsiTheme="minorEastAsia" w:eastAsiaTheme="minorEastAsia"/>
              </w:rPr>
              <w:t xml:space="preserve"> 4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jc w:val="left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asciiTheme="minorEastAsia" w:hAnsiTheme="minorEastAsia" w:eastAsiaTheme="minorEastAsia"/>
              </w:rPr>
              <w:t>□ 5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□ 6</w:t>
            </w:r>
            <w:r>
              <w:rPr>
                <w:rFonts w:hint="eastAsia" w:asciiTheme="minorEastAsia" w:hAnsiTheme="minorEastAsia" w:eastAsiaTheme="minorEastAsia"/>
              </w:rPr>
              <w:t>.</w:t>
            </w:r>
            <w:r>
              <w:rPr>
                <w:rFonts w:asciiTheme="minorEastAsia" w:hAnsiTheme="minorEastAsia" w:eastAsiaTheme="minorEastAsia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spacing w:after="0"/>
              <w:rPr>
                <w:rFonts w:asciiTheme="minorEastAsia" w:hAnsiTheme="minorEastAsia" w:eastAsia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/>
                <w:lang w:val="en-US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不适用</w:t>
            </w:r>
          </w:p>
        </w:tc>
      </w:tr>
    </w:tbl>
    <w:p>
      <w:pPr>
        <w:pStyle w:val="13"/>
        <w:spacing w:line="240" w:lineRule="auto"/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Noto Sans Thai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Angsana New">
    <w:altName w:val="Noto Serif Thai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S Gothic">
    <w:altName w:val="宋体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">
    <w:altName w:val="DejaVu San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  <w:font w:name="汉仪仿宋S">
    <w:panose1 w:val="00020600040101000101"/>
    <w:charset w:val="86"/>
    <w:family w:val="auto"/>
    <w:pitch w:val="default"/>
    <w:sig w:usb0="A00002BF" w:usb1="38CF7CFA" w:usb2="00000016" w:usb3="00000000" w:csb0="0004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erif Thai">
    <w:panose1 w:val="02020502060505020204"/>
    <w:charset w:val="00"/>
    <w:family w:val="auto"/>
    <w:pitch w:val="default"/>
    <w:sig w:usb0="81000063" w:usb1="00002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7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8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DA225B"/>
    <w:multiLevelType w:val="multilevel"/>
    <w:tmpl w:val="10DA225B"/>
    <w:lvl w:ilvl="0" w:tentative="0">
      <w:start w:val="1"/>
      <w:numFmt w:val="decimal"/>
      <w:pStyle w:val="69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70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71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2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3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1ACB0D08"/>
    <w:multiLevelType w:val="multilevel"/>
    <w:tmpl w:val="1ACB0D08"/>
    <w:lvl w:ilvl="0" w:tentative="0">
      <w:start w:val="1"/>
      <w:numFmt w:val="decimal"/>
      <w:pStyle w:val="91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92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3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4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5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22E67D87"/>
    <w:multiLevelType w:val="multilevel"/>
    <w:tmpl w:val="22E67D87"/>
    <w:lvl w:ilvl="0" w:tentative="0">
      <w:start w:val="1"/>
      <w:numFmt w:val="decimal"/>
      <w:pStyle w:val="88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>
    <w:nsid w:val="238A1512"/>
    <w:multiLevelType w:val="multilevel"/>
    <w:tmpl w:val="238A1512"/>
    <w:lvl w:ilvl="0" w:tentative="0">
      <w:start w:val="1"/>
      <w:numFmt w:val="decimal"/>
      <w:pStyle w:val="4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1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2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3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7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57F3860"/>
    <w:multiLevelType w:val="multilevel"/>
    <w:tmpl w:val="257F3860"/>
    <w:lvl w:ilvl="0" w:tentative="0">
      <w:start w:val="1"/>
      <w:numFmt w:val="bullet"/>
      <w:pStyle w:val="66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8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7">
    <w:nsid w:val="2F2A2A4D"/>
    <w:multiLevelType w:val="multilevel"/>
    <w:tmpl w:val="2F2A2A4D"/>
    <w:lvl w:ilvl="0" w:tentative="0">
      <w:start w:val="1"/>
      <w:numFmt w:val="decimal"/>
      <w:pStyle w:val="83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4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5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>
    <w:nsid w:val="32B15ED0"/>
    <w:multiLevelType w:val="multilevel"/>
    <w:tmpl w:val="32B15ED0"/>
    <w:lvl w:ilvl="0" w:tentative="0">
      <w:start w:val="1"/>
      <w:numFmt w:val="decimal"/>
      <w:pStyle w:val="89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>
    <w:nsid w:val="32F63391"/>
    <w:multiLevelType w:val="multilevel"/>
    <w:tmpl w:val="32F63391"/>
    <w:lvl w:ilvl="0" w:tentative="0">
      <w:start w:val="1"/>
      <w:numFmt w:val="upperRoman"/>
      <w:pStyle w:val="100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101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102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10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3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>
    <w:nsid w:val="356238E7"/>
    <w:multiLevelType w:val="multilevel"/>
    <w:tmpl w:val="356238E7"/>
    <w:lvl w:ilvl="0" w:tentative="0">
      <w:start w:val="1"/>
      <w:numFmt w:val="bullet"/>
      <w:pStyle w:val="86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7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1">
    <w:nsid w:val="3D8F4AF6"/>
    <w:multiLevelType w:val="multilevel"/>
    <w:tmpl w:val="3D8F4AF6"/>
    <w:lvl w:ilvl="0" w:tentative="0">
      <w:start w:val="1"/>
      <w:numFmt w:val="decimal"/>
      <w:pStyle w:val="90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>
    <w:nsid w:val="41162E3A"/>
    <w:multiLevelType w:val="multilevel"/>
    <w:tmpl w:val="41162E3A"/>
    <w:lvl w:ilvl="0" w:tentative="0">
      <w:start w:val="1"/>
      <w:numFmt w:val="decimal"/>
      <w:pStyle w:val="51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>
    <w:nsid w:val="43972FF6"/>
    <w:multiLevelType w:val="multilevel"/>
    <w:tmpl w:val="43972FF6"/>
    <w:lvl w:ilvl="0" w:tentative="0">
      <w:start w:val="1"/>
      <w:numFmt w:val="chineseCountingThousand"/>
      <w:pStyle w:val="49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>
    <w:nsid w:val="4DAE4F79"/>
    <w:multiLevelType w:val="multilevel"/>
    <w:tmpl w:val="4DAE4F79"/>
    <w:lvl w:ilvl="0" w:tentative="0">
      <w:start w:val="1"/>
      <w:numFmt w:val="chineseCountingThousand"/>
      <w:pStyle w:val="54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7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8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6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7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>
    <w:nsid w:val="501F0A1D"/>
    <w:multiLevelType w:val="multilevel"/>
    <w:tmpl w:val="501F0A1D"/>
    <w:lvl w:ilvl="0" w:tentative="0">
      <w:start w:val="1"/>
      <w:numFmt w:val="chineseCountingThousand"/>
      <w:pStyle w:val="50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>
    <w:nsid w:val="55847832"/>
    <w:multiLevelType w:val="multilevel"/>
    <w:tmpl w:val="55847832"/>
    <w:lvl w:ilvl="0" w:tentative="0">
      <w:start w:val="1"/>
      <w:numFmt w:val="decimal"/>
      <w:pStyle w:val="64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52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5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>
    <w:nsid w:val="68DF0B3E"/>
    <w:multiLevelType w:val="multilevel"/>
    <w:tmpl w:val="68DF0B3E"/>
    <w:lvl w:ilvl="0" w:tentative="0">
      <w:start w:val="1"/>
      <w:numFmt w:val="decimal"/>
      <w:pStyle w:val="78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9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80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81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82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>
    <w:nsid w:val="6F6B36C8"/>
    <w:multiLevelType w:val="multilevel"/>
    <w:tmpl w:val="6F6B36C8"/>
    <w:lvl w:ilvl="0" w:tentative="0">
      <w:start w:val="1"/>
      <w:numFmt w:val="chineseCountingThousand"/>
      <w:pStyle w:val="55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3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8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9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60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>
    <w:nsid w:val="6F723ADA"/>
    <w:multiLevelType w:val="multilevel"/>
    <w:tmpl w:val="6F723ADA"/>
    <w:lvl w:ilvl="0" w:tentative="0">
      <w:start w:val="1"/>
      <w:numFmt w:val="decimal"/>
      <w:pStyle w:val="104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5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6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16"/>
  </w:num>
  <w:num w:numId="7">
    <w:abstractNumId w:val="18"/>
  </w:num>
  <w:num w:numId="8">
    <w:abstractNumId w:val="14"/>
  </w:num>
  <w:num w:numId="9">
    <w:abstractNumId w:val="2"/>
  </w:num>
  <w:num w:numId="10">
    <w:abstractNumId w:val="17"/>
  </w:num>
  <w:num w:numId="11">
    <w:abstractNumId w:val="7"/>
  </w:num>
  <w:num w:numId="12">
    <w:abstractNumId w:val="10"/>
  </w:num>
  <w:num w:numId="13">
    <w:abstractNumId w:val="4"/>
  </w:num>
  <w:num w:numId="14">
    <w:abstractNumId w:val="8"/>
  </w:num>
  <w:num w:numId="15">
    <w:abstractNumId w:val="11"/>
  </w:num>
  <w:num w:numId="16">
    <w:abstractNumId w:val="3"/>
  </w:num>
  <w:num w:numId="17">
    <w:abstractNumId w:val="9"/>
  </w:num>
  <w:num w:numId="18">
    <w:abstractNumId w:val="19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true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F8"/>
    <w:rsid w:val="00000802"/>
    <w:rsid w:val="00002D3A"/>
    <w:rsid w:val="00003B9D"/>
    <w:rsid w:val="0000490D"/>
    <w:rsid w:val="0000509C"/>
    <w:rsid w:val="00005E15"/>
    <w:rsid w:val="000074D6"/>
    <w:rsid w:val="00010545"/>
    <w:rsid w:val="000109E9"/>
    <w:rsid w:val="00011044"/>
    <w:rsid w:val="00011B46"/>
    <w:rsid w:val="00011EF0"/>
    <w:rsid w:val="00013B51"/>
    <w:rsid w:val="0001411C"/>
    <w:rsid w:val="00015021"/>
    <w:rsid w:val="00015955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5D85"/>
    <w:rsid w:val="0003603C"/>
    <w:rsid w:val="00037D08"/>
    <w:rsid w:val="00040A93"/>
    <w:rsid w:val="00041221"/>
    <w:rsid w:val="00043767"/>
    <w:rsid w:val="000437E0"/>
    <w:rsid w:val="00045557"/>
    <w:rsid w:val="0004601F"/>
    <w:rsid w:val="00046889"/>
    <w:rsid w:val="00050AAD"/>
    <w:rsid w:val="00050AD7"/>
    <w:rsid w:val="00051A26"/>
    <w:rsid w:val="00055357"/>
    <w:rsid w:val="00056E38"/>
    <w:rsid w:val="00060A05"/>
    <w:rsid w:val="00061448"/>
    <w:rsid w:val="0006274B"/>
    <w:rsid w:val="00062795"/>
    <w:rsid w:val="000630D2"/>
    <w:rsid w:val="000632E3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543A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3B84"/>
    <w:rsid w:val="00084C71"/>
    <w:rsid w:val="00085802"/>
    <w:rsid w:val="00085A7D"/>
    <w:rsid w:val="000875BC"/>
    <w:rsid w:val="00090F55"/>
    <w:rsid w:val="00094AB5"/>
    <w:rsid w:val="00095A12"/>
    <w:rsid w:val="000A1487"/>
    <w:rsid w:val="000A19FE"/>
    <w:rsid w:val="000A2606"/>
    <w:rsid w:val="000A3A79"/>
    <w:rsid w:val="000A4409"/>
    <w:rsid w:val="000A45F3"/>
    <w:rsid w:val="000A5C47"/>
    <w:rsid w:val="000A63D6"/>
    <w:rsid w:val="000A7ECD"/>
    <w:rsid w:val="000B0976"/>
    <w:rsid w:val="000B0C48"/>
    <w:rsid w:val="000B1D0C"/>
    <w:rsid w:val="000B326B"/>
    <w:rsid w:val="000B4F19"/>
    <w:rsid w:val="000B71B1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3465"/>
    <w:rsid w:val="000D34F9"/>
    <w:rsid w:val="000D4457"/>
    <w:rsid w:val="000D503A"/>
    <w:rsid w:val="000D5091"/>
    <w:rsid w:val="000D78BA"/>
    <w:rsid w:val="000E1D8E"/>
    <w:rsid w:val="000E49ED"/>
    <w:rsid w:val="000E4BB5"/>
    <w:rsid w:val="000E518E"/>
    <w:rsid w:val="000E73B2"/>
    <w:rsid w:val="000E78F9"/>
    <w:rsid w:val="000F2C6E"/>
    <w:rsid w:val="000F2FAD"/>
    <w:rsid w:val="000F6244"/>
    <w:rsid w:val="000F721A"/>
    <w:rsid w:val="00100362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2519"/>
    <w:rsid w:val="001230EE"/>
    <w:rsid w:val="00123455"/>
    <w:rsid w:val="00125428"/>
    <w:rsid w:val="001264F0"/>
    <w:rsid w:val="00126A61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4B2"/>
    <w:rsid w:val="00145990"/>
    <w:rsid w:val="00147319"/>
    <w:rsid w:val="00152DEC"/>
    <w:rsid w:val="00153178"/>
    <w:rsid w:val="001531FF"/>
    <w:rsid w:val="00154A52"/>
    <w:rsid w:val="001563B1"/>
    <w:rsid w:val="0015786A"/>
    <w:rsid w:val="0016296D"/>
    <w:rsid w:val="00163B63"/>
    <w:rsid w:val="001640AF"/>
    <w:rsid w:val="00164EC6"/>
    <w:rsid w:val="00166464"/>
    <w:rsid w:val="00167271"/>
    <w:rsid w:val="001719F1"/>
    <w:rsid w:val="00171CAB"/>
    <w:rsid w:val="00175057"/>
    <w:rsid w:val="00176103"/>
    <w:rsid w:val="00176109"/>
    <w:rsid w:val="0017749E"/>
    <w:rsid w:val="00181BF2"/>
    <w:rsid w:val="00182B9B"/>
    <w:rsid w:val="0018504F"/>
    <w:rsid w:val="00185967"/>
    <w:rsid w:val="00187C31"/>
    <w:rsid w:val="00190A6E"/>
    <w:rsid w:val="001920FA"/>
    <w:rsid w:val="00192190"/>
    <w:rsid w:val="00194F96"/>
    <w:rsid w:val="0019713F"/>
    <w:rsid w:val="001A0421"/>
    <w:rsid w:val="001A0FF1"/>
    <w:rsid w:val="001A1C5B"/>
    <w:rsid w:val="001A58C4"/>
    <w:rsid w:val="001B03FE"/>
    <w:rsid w:val="001B082B"/>
    <w:rsid w:val="001B1FEE"/>
    <w:rsid w:val="001B2798"/>
    <w:rsid w:val="001B3753"/>
    <w:rsid w:val="001B6762"/>
    <w:rsid w:val="001B75C3"/>
    <w:rsid w:val="001B7C2E"/>
    <w:rsid w:val="001C09E5"/>
    <w:rsid w:val="001C166E"/>
    <w:rsid w:val="001C1A67"/>
    <w:rsid w:val="001C20A5"/>
    <w:rsid w:val="001C2277"/>
    <w:rsid w:val="001C560F"/>
    <w:rsid w:val="001C5A7B"/>
    <w:rsid w:val="001D02E1"/>
    <w:rsid w:val="001D0722"/>
    <w:rsid w:val="001D16B3"/>
    <w:rsid w:val="001D2AFA"/>
    <w:rsid w:val="001D2EFE"/>
    <w:rsid w:val="001D4942"/>
    <w:rsid w:val="001D49BC"/>
    <w:rsid w:val="001D4C03"/>
    <w:rsid w:val="001D6600"/>
    <w:rsid w:val="001E0583"/>
    <w:rsid w:val="001E1F5D"/>
    <w:rsid w:val="001E254B"/>
    <w:rsid w:val="001E2CD2"/>
    <w:rsid w:val="001E2DFE"/>
    <w:rsid w:val="001E41E4"/>
    <w:rsid w:val="001E46BA"/>
    <w:rsid w:val="001E54BA"/>
    <w:rsid w:val="001E55B7"/>
    <w:rsid w:val="001E7633"/>
    <w:rsid w:val="001E769C"/>
    <w:rsid w:val="001F06C3"/>
    <w:rsid w:val="001F19A6"/>
    <w:rsid w:val="001F1EE4"/>
    <w:rsid w:val="001F344E"/>
    <w:rsid w:val="001F3988"/>
    <w:rsid w:val="001F3A5F"/>
    <w:rsid w:val="001F5BAC"/>
    <w:rsid w:val="001F758A"/>
    <w:rsid w:val="001F7D98"/>
    <w:rsid w:val="002018D0"/>
    <w:rsid w:val="00201DF3"/>
    <w:rsid w:val="00205EDD"/>
    <w:rsid w:val="00212D93"/>
    <w:rsid w:val="00214233"/>
    <w:rsid w:val="0021557D"/>
    <w:rsid w:val="00215DDA"/>
    <w:rsid w:val="00215F4B"/>
    <w:rsid w:val="00217242"/>
    <w:rsid w:val="00217647"/>
    <w:rsid w:val="00220941"/>
    <w:rsid w:val="00220FEF"/>
    <w:rsid w:val="00221518"/>
    <w:rsid w:val="0022289B"/>
    <w:rsid w:val="00222D05"/>
    <w:rsid w:val="0022325C"/>
    <w:rsid w:val="0022358B"/>
    <w:rsid w:val="00223E26"/>
    <w:rsid w:val="00223F1C"/>
    <w:rsid w:val="0022614A"/>
    <w:rsid w:val="00226B0A"/>
    <w:rsid w:val="00226BF1"/>
    <w:rsid w:val="002327CB"/>
    <w:rsid w:val="00236195"/>
    <w:rsid w:val="00237FEA"/>
    <w:rsid w:val="00240481"/>
    <w:rsid w:val="00241FF3"/>
    <w:rsid w:val="0024224E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4C07"/>
    <w:rsid w:val="0026589F"/>
    <w:rsid w:val="00266153"/>
    <w:rsid w:val="002669CE"/>
    <w:rsid w:val="00267643"/>
    <w:rsid w:val="0026788D"/>
    <w:rsid w:val="00267970"/>
    <w:rsid w:val="00267B28"/>
    <w:rsid w:val="00275B0E"/>
    <w:rsid w:val="0027605B"/>
    <w:rsid w:val="00276AAD"/>
    <w:rsid w:val="00277A23"/>
    <w:rsid w:val="00281F96"/>
    <w:rsid w:val="00284327"/>
    <w:rsid w:val="00285DB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38A8"/>
    <w:rsid w:val="002A6468"/>
    <w:rsid w:val="002A6A9F"/>
    <w:rsid w:val="002A7A8A"/>
    <w:rsid w:val="002B24F8"/>
    <w:rsid w:val="002B2A4B"/>
    <w:rsid w:val="002B67CF"/>
    <w:rsid w:val="002B6F75"/>
    <w:rsid w:val="002B7DBB"/>
    <w:rsid w:val="002C163F"/>
    <w:rsid w:val="002C1783"/>
    <w:rsid w:val="002C3E47"/>
    <w:rsid w:val="002C4AE7"/>
    <w:rsid w:val="002C5778"/>
    <w:rsid w:val="002C6DC2"/>
    <w:rsid w:val="002D1B1D"/>
    <w:rsid w:val="002D1FAF"/>
    <w:rsid w:val="002D2ABE"/>
    <w:rsid w:val="002D2D0A"/>
    <w:rsid w:val="002D50EB"/>
    <w:rsid w:val="002D5279"/>
    <w:rsid w:val="002D6D8D"/>
    <w:rsid w:val="002E31A7"/>
    <w:rsid w:val="002E3424"/>
    <w:rsid w:val="002E3572"/>
    <w:rsid w:val="002E44A0"/>
    <w:rsid w:val="002E5CD7"/>
    <w:rsid w:val="002E75A5"/>
    <w:rsid w:val="002E7F58"/>
    <w:rsid w:val="002F0462"/>
    <w:rsid w:val="002F059F"/>
    <w:rsid w:val="002F08A8"/>
    <w:rsid w:val="002F0BDC"/>
    <w:rsid w:val="002F1E16"/>
    <w:rsid w:val="002F23EA"/>
    <w:rsid w:val="002F3549"/>
    <w:rsid w:val="002F4E13"/>
    <w:rsid w:val="002F76DA"/>
    <w:rsid w:val="002F7F7A"/>
    <w:rsid w:val="00302320"/>
    <w:rsid w:val="00303953"/>
    <w:rsid w:val="0030434C"/>
    <w:rsid w:val="00304B85"/>
    <w:rsid w:val="00304BEC"/>
    <w:rsid w:val="00304CED"/>
    <w:rsid w:val="00304E9F"/>
    <w:rsid w:val="00305009"/>
    <w:rsid w:val="00305596"/>
    <w:rsid w:val="0030726A"/>
    <w:rsid w:val="00313714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0AC3"/>
    <w:rsid w:val="00363116"/>
    <w:rsid w:val="00364D60"/>
    <w:rsid w:val="00365991"/>
    <w:rsid w:val="00366D11"/>
    <w:rsid w:val="00367A51"/>
    <w:rsid w:val="003723D0"/>
    <w:rsid w:val="00372FAA"/>
    <w:rsid w:val="003736EC"/>
    <w:rsid w:val="003742A8"/>
    <w:rsid w:val="00374CA0"/>
    <w:rsid w:val="00377A31"/>
    <w:rsid w:val="00377AFF"/>
    <w:rsid w:val="00382416"/>
    <w:rsid w:val="0038263F"/>
    <w:rsid w:val="00382836"/>
    <w:rsid w:val="003871AD"/>
    <w:rsid w:val="00390504"/>
    <w:rsid w:val="003916E1"/>
    <w:rsid w:val="00392586"/>
    <w:rsid w:val="00392C87"/>
    <w:rsid w:val="00395576"/>
    <w:rsid w:val="00396EB5"/>
    <w:rsid w:val="0039723D"/>
    <w:rsid w:val="003A5498"/>
    <w:rsid w:val="003A56CF"/>
    <w:rsid w:val="003A580F"/>
    <w:rsid w:val="003A5959"/>
    <w:rsid w:val="003B0795"/>
    <w:rsid w:val="003B1BD6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45ED"/>
    <w:rsid w:val="003D6857"/>
    <w:rsid w:val="003E0571"/>
    <w:rsid w:val="003E1337"/>
    <w:rsid w:val="003E1BAF"/>
    <w:rsid w:val="003E28D0"/>
    <w:rsid w:val="003E2C31"/>
    <w:rsid w:val="003E3D6F"/>
    <w:rsid w:val="003E4E3F"/>
    <w:rsid w:val="003E5050"/>
    <w:rsid w:val="003E635C"/>
    <w:rsid w:val="003E6B9C"/>
    <w:rsid w:val="003E6DDD"/>
    <w:rsid w:val="003E72FD"/>
    <w:rsid w:val="003F2527"/>
    <w:rsid w:val="003F3B6A"/>
    <w:rsid w:val="003F48CD"/>
    <w:rsid w:val="003F525C"/>
    <w:rsid w:val="003F5745"/>
    <w:rsid w:val="00401FCB"/>
    <w:rsid w:val="004027A6"/>
    <w:rsid w:val="00403338"/>
    <w:rsid w:val="004047F1"/>
    <w:rsid w:val="00404F1A"/>
    <w:rsid w:val="00406544"/>
    <w:rsid w:val="0041145E"/>
    <w:rsid w:val="00412F88"/>
    <w:rsid w:val="00416D7B"/>
    <w:rsid w:val="004170E4"/>
    <w:rsid w:val="004213E6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41812"/>
    <w:rsid w:val="00441959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2127"/>
    <w:rsid w:val="004631E3"/>
    <w:rsid w:val="004643A7"/>
    <w:rsid w:val="00465512"/>
    <w:rsid w:val="00466629"/>
    <w:rsid w:val="004667B0"/>
    <w:rsid w:val="004671D5"/>
    <w:rsid w:val="00467E32"/>
    <w:rsid w:val="0047166F"/>
    <w:rsid w:val="00473160"/>
    <w:rsid w:val="00473776"/>
    <w:rsid w:val="00474A76"/>
    <w:rsid w:val="00474B15"/>
    <w:rsid w:val="00475065"/>
    <w:rsid w:val="00475FE0"/>
    <w:rsid w:val="004764E1"/>
    <w:rsid w:val="0047752E"/>
    <w:rsid w:val="00483159"/>
    <w:rsid w:val="004862D6"/>
    <w:rsid w:val="00491F1B"/>
    <w:rsid w:val="004938FB"/>
    <w:rsid w:val="0049394F"/>
    <w:rsid w:val="00493BA3"/>
    <w:rsid w:val="00495477"/>
    <w:rsid w:val="00495B92"/>
    <w:rsid w:val="00496C70"/>
    <w:rsid w:val="004A0037"/>
    <w:rsid w:val="004A0BED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64F"/>
    <w:rsid w:val="004D682A"/>
    <w:rsid w:val="004D6DE9"/>
    <w:rsid w:val="004D7496"/>
    <w:rsid w:val="004E0E7A"/>
    <w:rsid w:val="004E1256"/>
    <w:rsid w:val="004E1675"/>
    <w:rsid w:val="004E5C24"/>
    <w:rsid w:val="004F64DC"/>
    <w:rsid w:val="004F673B"/>
    <w:rsid w:val="004F7224"/>
    <w:rsid w:val="00500E4A"/>
    <w:rsid w:val="005027AC"/>
    <w:rsid w:val="0050343B"/>
    <w:rsid w:val="00503821"/>
    <w:rsid w:val="00504C60"/>
    <w:rsid w:val="005051DE"/>
    <w:rsid w:val="005061BE"/>
    <w:rsid w:val="0050742E"/>
    <w:rsid w:val="00507828"/>
    <w:rsid w:val="00510C61"/>
    <w:rsid w:val="00511A16"/>
    <w:rsid w:val="0051453D"/>
    <w:rsid w:val="00516408"/>
    <w:rsid w:val="00517BBF"/>
    <w:rsid w:val="0052045A"/>
    <w:rsid w:val="005205FF"/>
    <w:rsid w:val="00521154"/>
    <w:rsid w:val="00521292"/>
    <w:rsid w:val="00523083"/>
    <w:rsid w:val="005237D8"/>
    <w:rsid w:val="00523C46"/>
    <w:rsid w:val="005275AD"/>
    <w:rsid w:val="00530847"/>
    <w:rsid w:val="00530918"/>
    <w:rsid w:val="00530BB5"/>
    <w:rsid w:val="00532E73"/>
    <w:rsid w:val="00533A32"/>
    <w:rsid w:val="00535904"/>
    <w:rsid w:val="00535A2B"/>
    <w:rsid w:val="00542643"/>
    <w:rsid w:val="0054346B"/>
    <w:rsid w:val="00543613"/>
    <w:rsid w:val="00543811"/>
    <w:rsid w:val="00545666"/>
    <w:rsid w:val="00545770"/>
    <w:rsid w:val="005478FB"/>
    <w:rsid w:val="00550CC7"/>
    <w:rsid w:val="00552FD9"/>
    <w:rsid w:val="00554337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CDC"/>
    <w:rsid w:val="00572FF0"/>
    <w:rsid w:val="00573F7B"/>
    <w:rsid w:val="005749E7"/>
    <w:rsid w:val="00574CBC"/>
    <w:rsid w:val="0057651A"/>
    <w:rsid w:val="00576DCE"/>
    <w:rsid w:val="005807AE"/>
    <w:rsid w:val="00580B61"/>
    <w:rsid w:val="00580E14"/>
    <w:rsid w:val="005814C2"/>
    <w:rsid w:val="00581FB3"/>
    <w:rsid w:val="005825B9"/>
    <w:rsid w:val="005834DF"/>
    <w:rsid w:val="00583CCD"/>
    <w:rsid w:val="005868EE"/>
    <w:rsid w:val="00586C48"/>
    <w:rsid w:val="00587E6B"/>
    <w:rsid w:val="005916D4"/>
    <w:rsid w:val="005A4338"/>
    <w:rsid w:val="005A6504"/>
    <w:rsid w:val="005B4537"/>
    <w:rsid w:val="005B4A75"/>
    <w:rsid w:val="005B5131"/>
    <w:rsid w:val="005B56C9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1666"/>
    <w:rsid w:val="005F2307"/>
    <w:rsid w:val="005F27EF"/>
    <w:rsid w:val="005F3065"/>
    <w:rsid w:val="005F4041"/>
    <w:rsid w:val="005F46D8"/>
    <w:rsid w:val="005F4F13"/>
    <w:rsid w:val="006036D0"/>
    <w:rsid w:val="006046F4"/>
    <w:rsid w:val="00605BCD"/>
    <w:rsid w:val="00605DC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ED5"/>
    <w:rsid w:val="00613F0D"/>
    <w:rsid w:val="006142AF"/>
    <w:rsid w:val="00617682"/>
    <w:rsid w:val="00617F95"/>
    <w:rsid w:val="00620AA5"/>
    <w:rsid w:val="00623646"/>
    <w:rsid w:val="00626B60"/>
    <w:rsid w:val="006277E6"/>
    <w:rsid w:val="00634380"/>
    <w:rsid w:val="006346F2"/>
    <w:rsid w:val="00635718"/>
    <w:rsid w:val="00637862"/>
    <w:rsid w:val="00640469"/>
    <w:rsid w:val="00640B12"/>
    <w:rsid w:val="00640C19"/>
    <w:rsid w:val="00641909"/>
    <w:rsid w:val="00641B31"/>
    <w:rsid w:val="006420D3"/>
    <w:rsid w:val="00644B45"/>
    <w:rsid w:val="00645685"/>
    <w:rsid w:val="006460FC"/>
    <w:rsid w:val="00646B5C"/>
    <w:rsid w:val="006470A4"/>
    <w:rsid w:val="006514CF"/>
    <w:rsid w:val="00652976"/>
    <w:rsid w:val="0065486D"/>
    <w:rsid w:val="0065672C"/>
    <w:rsid w:val="006616D6"/>
    <w:rsid w:val="00662838"/>
    <w:rsid w:val="0066308F"/>
    <w:rsid w:val="0066378A"/>
    <w:rsid w:val="00665389"/>
    <w:rsid w:val="00666ECD"/>
    <w:rsid w:val="00670540"/>
    <w:rsid w:val="0067075D"/>
    <w:rsid w:val="00671930"/>
    <w:rsid w:val="00671CF0"/>
    <w:rsid w:val="006738E4"/>
    <w:rsid w:val="006755E3"/>
    <w:rsid w:val="006759E9"/>
    <w:rsid w:val="00675CF4"/>
    <w:rsid w:val="00677CE8"/>
    <w:rsid w:val="0068089A"/>
    <w:rsid w:val="006829FB"/>
    <w:rsid w:val="0068793A"/>
    <w:rsid w:val="00687A4F"/>
    <w:rsid w:val="00690957"/>
    <w:rsid w:val="00690C70"/>
    <w:rsid w:val="00691F2E"/>
    <w:rsid w:val="00694BB6"/>
    <w:rsid w:val="00695C19"/>
    <w:rsid w:val="00696CBE"/>
    <w:rsid w:val="006A0017"/>
    <w:rsid w:val="006A0613"/>
    <w:rsid w:val="006A1AB6"/>
    <w:rsid w:val="006A264D"/>
    <w:rsid w:val="006A3BAA"/>
    <w:rsid w:val="006A57D6"/>
    <w:rsid w:val="006A65FA"/>
    <w:rsid w:val="006B1875"/>
    <w:rsid w:val="006B1DF6"/>
    <w:rsid w:val="006B1E3F"/>
    <w:rsid w:val="006B37A6"/>
    <w:rsid w:val="006B425A"/>
    <w:rsid w:val="006B4E55"/>
    <w:rsid w:val="006B6264"/>
    <w:rsid w:val="006B7858"/>
    <w:rsid w:val="006B7CC1"/>
    <w:rsid w:val="006B7D77"/>
    <w:rsid w:val="006C0870"/>
    <w:rsid w:val="006C0B1B"/>
    <w:rsid w:val="006C0C29"/>
    <w:rsid w:val="006C24FF"/>
    <w:rsid w:val="006C2931"/>
    <w:rsid w:val="006C36A7"/>
    <w:rsid w:val="006C488E"/>
    <w:rsid w:val="006C4B87"/>
    <w:rsid w:val="006C4E9C"/>
    <w:rsid w:val="006C6062"/>
    <w:rsid w:val="006C70FC"/>
    <w:rsid w:val="006C7634"/>
    <w:rsid w:val="006C7D5B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03C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75A"/>
    <w:rsid w:val="00701B82"/>
    <w:rsid w:val="00701E32"/>
    <w:rsid w:val="007024A0"/>
    <w:rsid w:val="007029FA"/>
    <w:rsid w:val="00703AE0"/>
    <w:rsid w:val="0070405D"/>
    <w:rsid w:val="00705331"/>
    <w:rsid w:val="00705D0E"/>
    <w:rsid w:val="00705E29"/>
    <w:rsid w:val="00707216"/>
    <w:rsid w:val="00707854"/>
    <w:rsid w:val="00710934"/>
    <w:rsid w:val="00712737"/>
    <w:rsid w:val="00712882"/>
    <w:rsid w:val="00714474"/>
    <w:rsid w:val="00714AA1"/>
    <w:rsid w:val="00715352"/>
    <w:rsid w:val="00716FC6"/>
    <w:rsid w:val="00717ECF"/>
    <w:rsid w:val="007224F5"/>
    <w:rsid w:val="00722D9C"/>
    <w:rsid w:val="00723ACD"/>
    <w:rsid w:val="00723C6C"/>
    <w:rsid w:val="007255F1"/>
    <w:rsid w:val="00725B5B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0D5C"/>
    <w:rsid w:val="007524D1"/>
    <w:rsid w:val="007558D4"/>
    <w:rsid w:val="00760461"/>
    <w:rsid w:val="00760953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533F"/>
    <w:rsid w:val="00777D8C"/>
    <w:rsid w:val="00781C31"/>
    <w:rsid w:val="00786651"/>
    <w:rsid w:val="0079069C"/>
    <w:rsid w:val="0079092B"/>
    <w:rsid w:val="00791D69"/>
    <w:rsid w:val="007929A4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A742B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235E"/>
    <w:rsid w:val="007D3133"/>
    <w:rsid w:val="007D42CB"/>
    <w:rsid w:val="007D524C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E7C"/>
    <w:rsid w:val="007F1441"/>
    <w:rsid w:val="007F167D"/>
    <w:rsid w:val="007F1ADD"/>
    <w:rsid w:val="007F25D2"/>
    <w:rsid w:val="007F263C"/>
    <w:rsid w:val="007F4BE8"/>
    <w:rsid w:val="008025CD"/>
    <w:rsid w:val="00802E9A"/>
    <w:rsid w:val="00804E1E"/>
    <w:rsid w:val="0080568F"/>
    <w:rsid w:val="0080732C"/>
    <w:rsid w:val="008109CC"/>
    <w:rsid w:val="00812033"/>
    <w:rsid w:val="00813505"/>
    <w:rsid w:val="008155F4"/>
    <w:rsid w:val="008160A0"/>
    <w:rsid w:val="00817126"/>
    <w:rsid w:val="0081754E"/>
    <w:rsid w:val="00823E12"/>
    <w:rsid w:val="0082585F"/>
    <w:rsid w:val="008262BA"/>
    <w:rsid w:val="0082702B"/>
    <w:rsid w:val="0083066C"/>
    <w:rsid w:val="00830DC2"/>
    <w:rsid w:val="00833BC6"/>
    <w:rsid w:val="0083602B"/>
    <w:rsid w:val="00840EE2"/>
    <w:rsid w:val="008427E4"/>
    <w:rsid w:val="008443B6"/>
    <w:rsid w:val="00844527"/>
    <w:rsid w:val="00844A81"/>
    <w:rsid w:val="0084601C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2570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87CD2"/>
    <w:rsid w:val="00891BC0"/>
    <w:rsid w:val="00893123"/>
    <w:rsid w:val="00893DDD"/>
    <w:rsid w:val="00895648"/>
    <w:rsid w:val="00895724"/>
    <w:rsid w:val="00896E91"/>
    <w:rsid w:val="008A00B6"/>
    <w:rsid w:val="008A032D"/>
    <w:rsid w:val="008A25C9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158B"/>
    <w:rsid w:val="008D1B62"/>
    <w:rsid w:val="008D2AAD"/>
    <w:rsid w:val="008D3AC8"/>
    <w:rsid w:val="008D71AB"/>
    <w:rsid w:val="008E1B71"/>
    <w:rsid w:val="008E437E"/>
    <w:rsid w:val="008E4A9A"/>
    <w:rsid w:val="008E5272"/>
    <w:rsid w:val="008E72EA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47FF"/>
    <w:rsid w:val="00905CD6"/>
    <w:rsid w:val="009106C0"/>
    <w:rsid w:val="009107CC"/>
    <w:rsid w:val="0091219C"/>
    <w:rsid w:val="00912686"/>
    <w:rsid w:val="00912C0F"/>
    <w:rsid w:val="009143F4"/>
    <w:rsid w:val="00916BEC"/>
    <w:rsid w:val="00917972"/>
    <w:rsid w:val="00920585"/>
    <w:rsid w:val="00922FDD"/>
    <w:rsid w:val="009252A7"/>
    <w:rsid w:val="009269CA"/>
    <w:rsid w:val="00926E60"/>
    <w:rsid w:val="00926F1B"/>
    <w:rsid w:val="00927A58"/>
    <w:rsid w:val="009323CB"/>
    <w:rsid w:val="00934013"/>
    <w:rsid w:val="00935C0B"/>
    <w:rsid w:val="00937FB2"/>
    <w:rsid w:val="009419B7"/>
    <w:rsid w:val="00941C3F"/>
    <w:rsid w:val="0094283A"/>
    <w:rsid w:val="00942F33"/>
    <w:rsid w:val="00943698"/>
    <w:rsid w:val="00945C3D"/>
    <w:rsid w:val="009502DA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0C37"/>
    <w:rsid w:val="00965D55"/>
    <w:rsid w:val="00965EF8"/>
    <w:rsid w:val="00966B77"/>
    <w:rsid w:val="00966D9C"/>
    <w:rsid w:val="00966E53"/>
    <w:rsid w:val="00970766"/>
    <w:rsid w:val="0097212E"/>
    <w:rsid w:val="00973294"/>
    <w:rsid w:val="00973695"/>
    <w:rsid w:val="009745B2"/>
    <w:rsid w:val="009777E6"/>
    <w:rsid w:val="00977EA5"/>
    <w:rsid w:val="009819DB"/>
    <w:rsid w:val="00981BFE"/>
    <w:rsid w:val="0098486A"/>
    <w:rsid w:val="009852B8"/>
    <w:rsid w:val="009858DF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0F0D"/>
    <w:rsid w:val="009A214D"/>
    <w:rsid w:val="009A4418"/>
    <w:rsid w:val="009A493E"/>
    <w:rsid w:val="009A68FE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B7EF9"/>
    <w:rsid w:val="009C0665"/>
    <w:rsid w:val="009C2CF0"/>
    <w:rsid w:val="009C316B"/>
    <w:rsid w:val="009C33F1"/>
    <w:rsid w:val="009C5530"/>
    <w:rsid w:val="009C5C17"/>
    <w:rsid w:val="009C673D"/>
    <w:rsid w:val="009D00AF"/>
    <w:rsid w:val="009D1884"/>
    <w:rsid w:val="009D1A2C"/>
    <w:rsid w:val="009D21C2"/>
    <w:rsid w:val="009D365D"/>
    <w:rsid w:val="009D4425"/>
    <w:rsid w:val="009D5D15"/>
    <w:rsid w:val="009E1149"/>
    <w:rsid w:val="009E2081"/>
    <w:rsid w:val="009E2348"/>
    <w:rsid w:val="009E35E6"/>
    <w:rsid w:val="009E39E6"/>
    <w:rsid w:val="009E3EDC"/>
    <w:rsid w:val="009E4DE7"/>
    <w:rsid w:val="009E50CC"/>
    <w:rsid w:val="009E5BF3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07512"/>
    <w:rsid w:val="00A104B8"/>
    <w:rsid w:val="00A10D1C"/>
    <w:rsid w:val="00A116C7"/>
    <w:rsid w:val="00A12801"/>
    <w:rsid w:val="00A12CB0"/>
    <w:rsid w:val="00A13727"/>
    <w:rsid w:val="00A14488"/>
    <w:rsid w:val="00A20412"/>
    <w:rsid w:val="00A21501"/>
    <w:rsid w:val="00A22186"/>
    <w:rsid w:val="00A22601"/>
    <w:rsid w:val="00A22FE7"/>
    <w:rsid w:val="00A279FA"/>
    <w:rsid w:val="00A3067C"/>
    <w:rsid w:val="00A324C7"/>
    <w:rsid w:val="00A3476D"/>
    <w:rsid w:val="00A34BE8"/>
    <w:rsid w:val="00A36362"/>
    <w:rsid w:val="00A37A23"/>
    <w:rsid w:val="00A40551"/>
    <w:rsid w:val="00A420FB"/>
    <w:rsid w:val="00A4317A"/>
    <w:rsid w:val="00A4448E"/>
    <w:rsid w:val="00A4484A"/>
    <w:rsid w:val="00A464C4"/>
    <w:rsid w:val="00A46A40"/>
    <w:rsid w:val="00A479D7"/>
    <w:rsid w:val="00A50F3C"/>
    <w:rsid w:val="00A5282B"/>
    <w:rsid w:val="00A53AB7"/>
    <w:rsid w:val="00A54684"/>
    <w:rsid w:val="00A551D7"/>
    <w:rsid w:val="00A55A75"/>
    <w:rsid w:val="00A564C8"/>
    <w:rsid w:val="00A5775A"/>
    <w:rsid w:val="00A5790E"/>
    <w:rsid w:val="00A60725"/>
    <w:rsid w:val="00A61043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5B80"/>
    <w:rsid w:val="00A76293"/>
    <w:rsid w:val="00A765A1"/>
    <w:rsid w:val="00A809BC"/>
    <w:rsid w:val="00A80B9C"/>
    <w:rsid w:val="00A80F79"/>
    <w:rsid w:val="00A81A3C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97D7C"/>
    <w:rsid w:val="00AA31BD"/>
    <w:rsid w:val="00AA3439"/>
    <w:rsid w:val="00AA43B8"/>
    <w:rsid w:val="00AA4E68"/>
    <w:rsid w:val="00AA5401"/>
    <w:rsid w:val="00AA5F45"/>
    <w:rsid w:val="00AA6E92"/>
    <w:rsid w:val="00AA7DBA"/>
    <w:rsid w:val="00AB3E72"/>
    <w:rsid w:val="00AB6833"/>
    <w:rsid w:val="00AB74D5"/>
    <w:rsid w:val="00AC0779"/>
    <w:rsid w:val="00AC2CA5"/>
    <w:rsid w:val="00AC3677"/>
    <w:rsid w:val="00AC3B56"/>
    <w:rsid w:val="00AC4B3E"/>
    <w:rsid w:val="00AC6704"/>
    <w:rsid w:val="00AC7073"/>
    <w:rsid w:val="00AC7455"/>
    <w:rsid w:val="00AC7605"/>
    <w:rsid w:val="00AD0FA3"/>
    <w:rsid w:val="00AD11CE"/>
    <w:rsid w:val="00AD278E"/>
    <w:rsid w:val="00AD3E8C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380"/>
    <w:rsid w:val="00AD799C"/>
    <w:rsid w:val="00AD7F8B"/>
    <w:rsid w:val="00AE4628"/>
    <w:rsid w:val="00AE5236"/>
    <w:rsid w:val="00AE637D"/>
    <w:rsid w:val="00AE75FB"/>
    <w:rsid w:val="00AE7B92"/>
    <w:rsid w:val="00AE7E16"/>
    <w:rsid w:val="00AF1C5C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FB1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0F99"/>
    <w:rsid w:val="00B2179D"/>
    <w:rsid w:val="00B24325"/>
    <w:rsid w:val="00B27119"/>
    <w:rsid w:val="00B27419"/>
    <w:rsid w:val="00B314A9"/>
    <w:rsid w:val="00B321F1"/>
    <w:rsid w:val="00B36D9D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6AAC"/>
    <w:rsid w:val="00B4756C"/>
    <w:rsid w:val="00B5103A"/>
    <w:rsid w:val="00B538B7"/>
    <w:rsid w:val="00B54C15"/>
    <w:rsid w:val="00B556BB"/>
    <w:rsid w:val="00B574CD"/>
    <w:rsid w:val="00B61306"/>
    <w:rsid w:val="00B61F1A"/>
    <w:rsid w:val="00B61FF2"/>
    <w:rsid w:val="00B6361E"/>
    <w:rsid w:val="00B652F5"/>
    <w:rsid w:val="00B72FB6"/>
    <w:rsid w:val="00B74714"/>
    <w:rsid w:val="00B74B21"/>
    <w:rsid w:val="00B74C71"/>
    <w:rsid w:val="00B76687"/>
    <w:rsid w:val="00B7669D"/>
    <w:rsid w:val="00B76FCD"/>
    <w:rsid w:val="00B81880"/>
    <w:rsid w:val="00B82A6C"/>
    <w:rsid w:val="00B82D3F"/>
    <w:rsid w:val="00B85251"/>
    <w:rsid w:val="00B85F2A"/>
    <w:rsid w:val="00B86F82"/>
    <w:rsid w:val="00B90C09"/>
    <w:rsid w:val="00B9180F"/>
    <w:rsid w:val="00B927B8"/>
    <w:rsid w:val="00B933E4"/>
    <w:rsid w:val="00B94614"/>
    <w:rsid w:val="00BA17B7"/>
    <w:rsid w:val="00BA31EC"/>
    <w:rsid w:val="00BA482B"/>
    <w:rsid w:val="00BB0A86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801"/>
    <w:rsid w:val="00BB7B1E"/>
    <w:rsid w:val="00BC0693"/>
    <w:rsid w:val="00BC1B2A"/>
    <w:rsid w:val="00BC27FC"/>
    <w:rsid w:val="00BC29EF"/>
    <w:rsid w:val="00BC3DC6"/>
    <w:rsid w:val="00BC4127"/>
    <w:rsid w:val="00BC46A3"/>
    <w:rsid w:val="00BC54DE"/>
    <w:rsid w:val="00BC6DE4"/>
    <w:rsid w:val="00BC7152"/>
    <w:rsid w:val="00BC757F"/>
    <w:rsid w:val="00BD0F15"/>
    <w:rsid w:val="00BD13D4"/>
    <w:rsid w:val="00BD3679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D2D"/>
    <w:rsid w:val="00C071AF"/>
    <w:rsid w:val="00C0727D"/>
    <w:rsid w:val="00C0734C"/>
    <w:rsid w:val="00C11813"/>
    <w:rsid w:val="00C12101"/>
    <w:rsid w:val="00C12678"/>
    <w:rsid w:val="00C132BA"/>
    <w:rsid w:val="00C13BAF"/>
    <w:rsid w:val="00C14E5E"/>
    <w:rsid w:val="00C16071"/>
    <w:rsid w:val="00C175F0"/>
    <w:rsid w:val="00C17E48"/>
    <w:rsid w:val="00C20564"/>
    <w:rsid w:val="00C205C7"/>
    <w:rsid w:val="00C209B7"/>
    <w:rsid w:val="00C20CA1"/>
    <w:rsid w:val="00C211F7"/>
    <w:rsid w:val="00C21A4D"/>
    <w:rsid w:val="00C228F5"/>
    <w:rsid w:val="00C23A5A"/>
    <w:rsid w:val="00C246D2"/>
    <w:rsid w:val="00C250F1"/>
    <w:rsid w:val="00C264AA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21EE"/>
    <w:rsid w:val="00C5401F"/>
    <w:rsid w:val="00C548CF"/>
    <w:rsid w:val="00C54D78"/>
    <w:rsid w:val="00C557FA"/>
    <w:rsid w:val="00C57D52"/>
    <w:rsid w:val="00C60008"/>
    <w:rsid w:val="00C60F6E"/>
    <w:rsid w:val="00C622A2"/>
    <w:rsid w:val="00C626DB"/>
    <w:rsid w:val="00C634C6"/>
    <w:rsid w:val="00C645F6"/>
    <w:rsid w:val="00C66171"/>
    <w:rsid w:val="00C66480"/>
    <w:rsid w:val="00C7032E"/>
    <w:rsid w:val="00C714FF"/>
    <w:rsid w:val="00C72617"/>
    <w:rsid w:val="00C7390D"/>
    <w:rsid w:val="00C74193"/>
    <w:rsid w:val="00C742C0"/>
    <w:rsid w:val="00C75074"/>
    <w:rsid w:val="00C75FE4"/>
    <w:rsid w:val="00C765A9"/>
    <w:rsid w:val="00C7682E"/>
    <w:rsid w:val="00C778FD"/>
    <w:rsid w:val="00C8006D"/>
    <w:rsid w:val="00C80A7E"/>
    <w:rsid w:val="00C821EB"/>
    <w:rsid w:val="00C84557"/>
    <w:rsid w:val="00C85676"/>
    <w:rsid w:val="00C87CE4"/>
    <w:rsid w:val="00C90164"/>
    <w:rsid w:val="00C91F63"/>
    <w:rsid w:val="00C92367"/>
    <w:rsid w:val="00C92F14"/>
    <w:rsid w:val="00C94560"/>
    <w:rsid w:val="00C9742D"/>
    <w:rsid w:val="00C9769D"/>
    <w:rsid w:val="00C97F2A"/>
    <w:rsid w:val="00CA247F"/>
    <w:rsid w:val="00CA24B3"/>
    <w:rsid w:val="00CA2F21"/>
    <w:rsid w:val="00CA3431"/>
    <w:rsid w:val="00CA50D6"/>
    <w:rsid w:val="00CA6159"/>
    <w:rsid w:val="00CA76B8"/>
    <w:rsid w:val="00CB14E7"/>
    <w:rsid w:val="00CB1F6A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292"/>
    <w:rsid w:val="00CC3BC9"/>
    <w:rsid w:val="00CC3DDB"/>
    <w:rsid w:val="00CC570A"/>
    <w:rsid w:val="00CD0C06"/>
    <w:rsid w:val="00CD2177"/>
    <w:rsid w:val="00CD2B51"/>
    <w:rsid w:val="00CD3273"/>
    <w:rsid w:val="00CD41C7"/>
    <w:rsid w:val="00CD4490"/>
    <w:rsid w:val="00CD644B"/>
    <w:rsid w:val="00CD7334"/>
    <w:rsid w:val="00CE0670"/>
    <w:rsid w:val="00CE07F4"/>
    <w:rsid w:val="00CE2320"/>
    <w:rsid w:val="00CE3678"/>
    <w:rsid w:val="00CE3FA2"/>
    <w:rsid w:val="00CE6EFB"/>
    <w:rsid w:val="00CF01B5"/>
    <w:rsid w:val="00CF0BA1"/>
    <w:rsid w:val="00CF1235"/>
    <w:rsid w:val="00CF29E4"/>
    <w:rsid w:val="00CF2F15"/>
    <w:rsid w:val="00CF371B"/>
    <w:rsid w:val="00CF5AE9"/>
    <w:rsid w:val="00CF632D"/>
    <w:rsid w:val="00D00801"/>
    <w:rsid w:val="00D0151B"/>
    <w:rsid w:val="00D019B7"/>
    <w:rsid w:val="00D02B43"/>
    <w:rsid w:val="00D05BDB"/>
    <w:rsid w:val="00D10A86"/>
    <w:rsid w:val="00D11D24"/>
    <w:rsid w:val="00D204BB"/>
    <w:rsid w:val="00D204BD"/>
    <w:rsid w:val="00D22384"/>
    <w:rsid w:val="00D2423F"/>
    <w:rsid w:val="00D24249"/>
    <w:rsid w:val="00D24461"/>
    <w:rsid w:val="00D25790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E1E"/>
    <w:rsid w:val="00D5014F"/>
    <w:rsid w:val="00D5082D"/>
    <w:rsid w:val="00D52328"/>
    <w:rsid w:val="00D52411"/>
    <w:rsid w:val="00D53DA6"/>
    <w:rsid w:val="00D55381"/>
    <w:rsid w:val="00D55D53"/>
    <w:rsid w:val="00D60D60"/>
    <w:rsid w:val="00D60F45"/>
    <w:rsid w:val="00D610FF"/>
    <w:rsid w:val="00D62EAF"/>
    <w:rsid w:val="00D639FC"/>
    <w:rsid w:val="00D650C4"/>
    <w:rsid w:val="00D66081"/>
    <w:rsid w:val="00D66998"/>
    <w:rsid w:val="00D676DE"/>
    <w:rsid w:val="00D70276"/>
    <w:rsid w:val="00D7395A"/>
    <w:rsid w:val="00D73E73"/>
    <w:rsid w:val="00D75196"/>
    <w:rsid w:val="00D751E5"/>
    <w:rsid w:val="00D7677F"/>
    <w:rsid w:val="00D810DE"/>
    <w:rsid w:val="00D84CB0"/>
    <w:rsid w:val="00D85394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978CA"/>
    <w:rsid w:val="00DA2847"/>
    <w:rsid w:val="00DA3C87"/>
    <w:rsid w:val="00DA3F03"/>
    <w:rsid w:val="00DA5284"/>
    <w:rsid w:val="00DA60DB"/>
    <w:rsid w:val="00DA616F"/>
    <w:rsid w:val="00DA6727"/>
    <w:rsid w:val="00DA6B39"/>
    <w:rsid w:val="00DA76AB"/>
    <w:rsid w:val="00DB2881"/>
    <w:rsid w:val="00DB2FD2"/>
    <w:rsid w:val="00DB4EB3"/>
    <w:rsid w:val="00DC09E8"/>
    <w:rsid w:val="00DC2179"/>
    <w:rsid w:val="00DC2A2C"/>
    <w:rsid w:val="00DC2B18"/>
    <w:rsid w:val="00DC2DCB"/>
    <w:rsid w:val="00DC36AB"/>
    <w:rsid w:val="00DC5233"/>
    <w:rsid w:val="00DC774E"/>
    <w:rsid w:val="00DC7C5F"/>
    <w:rsid w:val="00DC7E84"/>
    <w:rsid w:val="00DD0CE3"/>
    <w:rsid w:val="00DD352B"/>
    <w:rsid w:val="00DD3EE6"/>
    <w:rsid w:val="00DD5648"/>
    <w:rsid w:val="00DD5911"/>
    <w:rsid w:val="00DE19A3"/>
    <w:rsid w:val="00DE5548"/>
    <w:rsid w:val="00DF0536"/>
    <w:rsid w:val="00DF3762"/>
    <w:rsid w:val="00DF46AA"/>
    <w:rsid w:val="00DF55C3"/>
    <w:rsid w:val="00DF5C4B"/>
    <w:rsid w:val="00DF5DD7"/>
    <w:rsid w:val="00E01B41"/>
    <w:rsid w:val="00E02EE1"/>
    <w:rsid w:val="00E05321"/>
    <w:rsid w:val="00E05F4B"/>
    <w:rsid w:val="00E0697D"/>
    <w:rsid w:val="00E071E3"/>
    <w:rsid w:val="00E07AD1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0703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4DAA"/>
    <w:rsid w:val="00E45158"/>
    <w:rsid w:val="00E454F5"/>
    <w:rsid w:val="00E45D90"/>
    <w:rsid w:val="00E4723E"/>
    <w:rsid w:val="00E50063"/>
    <w:rsid w:val="00E52FD3"/>
    <w:rsid w:val="00E53AEA"/>
    <w:rsid w:val="00E53C05"/>
    <w:rsid w:val="00E54FF8"/>
    <w:rsid w:val="00E56F12"/>
    <w:rsid w:val="00E60EE5"/>
    <w:rsid w:val="00E646E8"/>
    <w:rsid w:val="00E66AD9"/>
    <w:rsid w:val="00E67791"/>
    <w:rsid w:val="00E706AE"/>
    <w:rsid w:val="00E711D6"/>
    <w:rsid w:val="00E71370"/>
    <w:rsid w:val="00E7389A"/>
    <w:rsid w:val="00E75B8D"/>
    <w:rsid w:val="00E76633"/>
    <w:rsid w:val="00E7708D"/>
    <w:rsid w:val="00E7796C"/>
    <w:rsid w:val="00E84B40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291"/>
    <w:rsid w:val="00EA16D4"/>
    <w:rsid w:val="00EA1CD2"/>
    <w:rsid w:val="00EA247B"/>
    <w:rsid w:val="00EA42A5"/>
    <w:rsid w:val="00EA4BFA"/>
    <w:rsid w:val="00EA5731"/>
    <w:rsid w:val="00EB0C3D"/>
    <w:rsid w:val="00EB0E6A"/>
    <w:rsid w:val="00EB0EC0"/>
    <w:rsid w:val="00EB1796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3DD8"/>
    <w:rsid w:val="00EC40B8"/>
    <w:rsid w:val="00EC4395"/>
    <w:rsid w:val="00EC4FFC"/>
    <w:rsid w:val="00EC5E93"/>
    <w:rsid w:val="00EC701A"/>
    <w:rsid w:val="00EC77F7"/>
    <w:rsid w:val="00ED08C1"/>
    <w:rsid w:val="00ED0DD9"/>
    <w:rsid w:val="00ED25A9"/>
    <w:rsid w:val="00ED4F9E"/>
    <w:rsid w:val="00ED6629"/>
    <w:rsid w:val="00EE0008"/>
    <w:rsid w:val="00EE0FFA"/>
    <w:rsid w:val="00EE6903"/>
    <w:rsid w:val="00EE7B45"/>
    <w:rsid w:val="00EF2EEA"/>
    <w:rsid w:val="00EF32C9"/>
    <w:rsid w:val="00EF35F0"/>
    <w:rsid w:val="00EF369D"/>
    <w:rsid w:val="00EF5AA2"/>
    <w:rsid w:val="00EF61BA"/>
    <w:rsid w:val="00EF75D0"/>
    <w:rsid w:val="00F01E32"/>
    <w:rsid w:val="00F0210A"/>
    <w:rsid w:val="00F049B2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4E83"/>
    <w:rsid w:val="00F15056"/>
    <w:rsid w:val="00F15BB7"/>
    <w:rsid w:val="00F16125"/>
    <w:rsid w:val="00F1618F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0E6C"/>
    <w:rsid w:val="00F43BB8"/>
    <w:rsid w:val="00F4532D"/>
    <w:rsid w:val="00F5076C"/>
    <w:rsid w:val="00F52565"/>
    <w:rsid w:val="00F5418B"/>
    <w:rsid w:val="00F54A75"/>
    <w:rsid w:val="00F54FF4"/>
    <w:rsid w:val="00F623B7"/>
    <w:rsid w:val="00F640D2"/>
    <w:rsid w:val="00F64129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01B7"/>
    <w:rsid w:val="00F8123C"/>
    <w:rsid w:val="00F82B9A"/>
    <w:rsid w:val="00F84440"/>
    <w:rsid w:val="00F8768B"/>
    <w:rsid w:val="00F900C4"/>
    <w:rsid w:val="00F9062E"/>
    <w:rsid w:val="00F90BF1"/>
    <w:rsid w:val="00F912AA"/>
    <w:rsid w:val="00F91F68"/>
    <w:rsid w:val="00F92CDA"/>
    <w:rsid w:val="00F92CF9"/>
    <w:rsid w:val="00F92F1F"/>
    <w:rsid w:val="00F93724"/>
    <w:rsid w:val="00F93A6D"/>
    <w:rsid w:val="00F966AE"/>
    <w:rsid w:val="00F96C5A"/>
    <w:rsid w:val="00F97089"/>
    <w:rsid w:val="00FA0389"/>
    <w:rsid w:val="00FA3021"/>
    <w:rsid w:val="00FA4007"/>
    <w:rsid w:val="00FB145A"/>
    <w:rsid w:val="00FB3488"/>
    <w:rsid w:val="00FB4424"/>
    <w:rsid w:val="00FB4871"/>
    <w:rsid w:val="00FB4BF1"/>
    <w:rsid w:val="00FB6783"/>
    <w:rsid w:val="00FB684B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5198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5733"/>
    <w:rsid w:val="00FE6155"/>
    <w:rsid w:val="00FE6D89"/>
    <w:rsid w:val="00FE6E29"/>
    <w:rsid w:val="00FF0D99"/>
    <w:rsid w:val="00FF0EA7"/>
    <w:rsid w:val="00FF2BE3"/>
    <w:rsid w:val="00FF310A"/>
    <w:rsid w:val="00FF4469"/>
    <w:rsid w:val="00FF4A12"/>
    <w:rsid w:val="00FF60C1"/>
    <w:rsid w:val="00FF726D"/>
    <w:rsid w:val="00FF755E"/>
    <w:rsid w:val="757F8CF4"/>
    <w:rsid w:val="BDBB1955"/>
    <w:rsid w:val="BFB730A6"/>
    <w:rsid w:val="BFBEC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uiPriority="0" w:name="footnote text"/>
    <w:lsdException w:qFormat="1" w:uiPriority="0" w:name="annotation text"/>
    <w:lsdException w:uiPriority="0" w:name="header"/>
    <w:lsdException w:qFormat="1"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kern w:val="0"/>
      <w:sz w:val="24"/>
      <w:szCs w:val="24"/>
      <w:lang w:val="en-GB" w:eastAsia="zh-CN" w:bidi="ar-AE"/>
    </w:rPr>
  </w:style>
  <w:style w:type="paragraph" w:styleId="2">
    <w:name w:val="heading 1"/>
    <w:basedOn w:val="1"/>
    <w:next w:val="3"/>
    <w:link w:val="34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5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6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7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8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9">
    <w:name w:val="heading 7"/>
    <w:basedOn w:val="3"/>
    <w:next w:val="3"/>
    <w:link w:val="40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</w:rPr>
  </w:style>
  <w:style w:type="paragraph" w:styleId="10">
    <w:name w:val="heading 8"/>
    <w:basedOn w:val="3"/>
    <w:next w:val="3"/>
    <w:link w:val="41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</w:rPr>
  </w:style>
  <w:style w:type="paragraph" w:styleId="11">
    <w:name w:val="heading 9"/>
    <w:basedOn w:val="3"/>
    <w:next w:val="3"/>
    <w:link w:val="42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1"/>
    <w:unhideWhenUsed/>
    <w:qFormat/>
    <w:uiPriority w:val="0"/>
    <w:pPr>
      <w:spacing w:after="120"/>
    </w:pPr>
  </w:style>
  <w:style w:type="paragraph" w:styleId="12">
    <w:name w:val="toc 7"/>
    <w:basedOn w:val="13"/>
    <w:next w:val="13"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annotation text"/>
    <w:basedOn w:val="1"/>
    <w:link w:val="122"/>
    <w:semiHidden/>
    <w:unhideWhenUsed/>
    <w:qFormat/>
    <w:uiPriority w:val="0"/>
    <w:pPr>
      <w:jc w:val="left"/>
    </w:pPr>
  </w:style>
  <w:style w:type="paragraph" w:styleId="16">
    <w:name w:val="toc 5"/>
    <w:basedOn w:val="13"/>
    <w:next w:val="13"/>
    <w:semiHidden/>
    <w:unhideWhenUsed/>
    <w:qFormat/>
    <w:uiPriority w:val="0"/>
    <w:pPr>
      <w:ind w:left="1680" w:leftChars="800"/>
    </w:pPr>
  </w:style>
  <w:style w:type="paragraph" w:styleId="17">
    <w:name w:val="toc 3"/>
    <w:basedOn w:val="13"/>
    <w:next w:val="13"/>
    <w:semiHidden/>
    <w:unhideWhenUsed/>
    <w:qFormat/>
    <w:uiPriority w:val="0"/>
    <w:pPr>
      <w:ind w:left="840" w:leftChars="400"/>
    </w:pPr>
  </w:style>
  <w:style w:type="paragraph" w:styleId="18">
    <w:name w:val="toc 8"/>
    <w:basedOn w:val="13"/>
    <w:next w:val="13"/>
    <w:semiHidden/>
    <w:unhideWhenUsed/>
    <w:qFormat/>
    <w:uiPriority w:val="0"/>
    <w:pPr>
      <w:ind w:left="2940" w:leftChars="1400"/>
    </w:pPr>
  </w:style>
  <w:style w:type="paragraph" w:styleId="19">
    <w:name w:val="Balloon Text"/>
    <w:basedOn w:val="1"/>
    <w:link w:val="121"/>
    <w:semiHidden/>
    <w:unhideWhenUsed/>
    <w:qFormat/>
    <w:uiPriority w:val="0"/>
    <w:pPr>
      <w:spacing w:after="0"/>
    </w:pPr>
    <w:rPr>
      <w:sz w:val="18"/>
      <w:szCs w:val="18"/>
    </w:rPr>
  </w:style>
  <w:style w:type="paragraph" w:styleId="20">
    <w:name w:val="footer"/>
    <w:basedOn w:val="1"/>
    <w:link w:val="124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toc 1"/>
    <w:basedOn w:val="13"/>
    <w:next w:val="13"/>
    <w:unhideWhenUsed/>
    <w:qFormat/>
    <w:uiPriority w:val="39"/>
  </w:style>
  <w:style w:type="paragraph" w:styleId="22">
    <w:name w:val="toc 4"/>
    <w:basedOn w:val="13"/>
    <w:next w:val="13"/>
    <w:semiHidden/>
    <w:unhideWhenUsed/>
    <w:qFormat/>
    <w:uiPriority w:val="0"/>
    <w:pPr>
      <w:ind w:left="1260" w:leftChars="600"/>
    </w:pPr>
  </w:style>
  <w:style w:type="paragraph" w:styleId="23">
    <w:name w:val="Subtitle"/>
    <w:basedOn w:val="1"/>
    <w:link w:val="113"/>
    <w:qFormat/>
    <w:uiPriority w:val="11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4">
    <w:name w:val="toc 6"/>
    <w:basedOn w:val="13"/>
    <w:next w:val="13"/>
    <w:semiHidden/>
    <w:unhideWhenUsed/>
    <w:qFormat/>
    <w:uiPriority w:val="0"/>
    <w:pPr>
      <w:ind w:left="2100" w:leftChars="1000"/>
    </w:pPr>
  </w:style>
  <w:style w:type="paragraph" w:styleId="25">
    <w:name w:val="toc 2"/>
    <w:basedOn w:val="13"/>
    <w:next w:val="13"/>
    <w:semiHidden/>
    <w:unhideWhenUsed/>
    <w:qFormat/>
    <w:uiPriority w:val="0"/>
    <w:pPr>
      <w:ind w:left="420" w:leftChars="200"/>
    </w:pPr>
  </w:style>
  <w:style w:type="paragraph" w:styleId="26">
    <w:name w:val="toc 9"/>
    <w:basedOn w:val="13"/>
    <w:next w:val="13"/>
    <w:semiHidden/>
    <w:unhideWhenUsed/>
    <w:qFormat/>
    <w:uiPriority w:val="0"/>
    <w:pPr>
      <w:ind w:left="3360" w:leftChars="1600"/>
    </w:pPr>
  </w:style>
  <w:style w:type="paragraph" w:styleId="27">
    <w:name w:val="Title"/>
    <w:basedOn w:val="1"/>
    <w:link w:val="112"/>
    <w:qFormat/>
    <w:uiPriority w:val="10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8">
    <w:name w:val="annotation subject"/>
    <w:basedOn w:val="15"/>
    <w:next w:val="15"/>
    <w:link w:val="123"/>
    <w:semiHidden/>
    <w:unhideWhenUsed/>
    <w:qFormat/>
    <w:uiPriority w:val="0"/>
    <w:rPr>
      <w:b/>
      <w:bCs/>
    </w:rPr>
  </w:style>
  <w:style w:type="character" w:styleId="31">
    <w:name w:val="Strong"/>
    <w:qFormat/>
    <w:uiPriority w:val="22"/>
    <w:rPr>
      <w:b/>
      <w:bCs/>
    </w:rPr>
  </w:style>
  <w:style w:type="character" w:styleId="32">
    <w:name w:val="Emphasis"/>
    <w:qFormat/>
    <w:uiPriority w:val="20"/>
    <w:rPr>
      <w:i/>
      <w:iCs/>
    </w:rPr>
  </w:style>
  <w:style w:type="character" w:styleId="33">
    <w:name w:val="annotation reference"/>
    <w:basedOn w:val="30"/>
    <w:semiHidden/>
    <w:unhideWhenUsed/>
    <w:qFormat/>
    <w:uiPriority w:val="0"/>
    <w:rPr>
      <w:sz w:val="21"/>
      <w:szCs w:val="21"/>
    </w:rPr>
  </w:style>
  <w:style w:type="character" w:customStyle="1" w:styleId="34">
    <w:name w:val="标题 1 字符"/>
    <w:basedOn w:val="30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5">
    <w:name w:val="标题 2 字符"/>
    <w:basedOn w:val="30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6">
    <w:name w:val="标题 3 字符"/>
    <w:basedOn w:val="30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7">
    <w:name w:val="标题 4 字符"/>
    <w:basedOn w:val="30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字符"/>
    <w:basedOn w:val="30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9">
    <w:name w:val="标题 6 字符"/>
    <w:basedOn w:val="30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0">
    <w:name w:val="标题 7 字符"/>
    <w:basedOn w:val="30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41">
    <w:name w:val="标题 8 字符"/>
    <w:basedOn w:val="30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2">
    <w:name w:val="标题 9 字符"/>
    <w:basedOn w:val="30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3">
    <w:name w:val="KWMCN-大标题"/>
    <w:next w:val="44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4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5">
    <w:name w:val="KWMCN-小标题"/>
    <w:next w:val="44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6">
    <w:name w:val="KWMCN-一级标题2"/>
    <w:next w:val="44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7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8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0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1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2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3">
    <w:name w:val="KWMCN-二级标题"/>
    <w:next w:val="44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5">
    <w:name w:val="KWMCN-一级标题"/>
    <w:next w:val="44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6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二级标题2"/>
    <w:next w:val="44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7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70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2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3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4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5">
    <w:name w:val="KWMEN-Heading"/>
    <w:next w:val="76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6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7">
    <w:name w:val="KWMEN-SubHeading"/>
    <w:next w:val="76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8">
    <w:name w:val="KWMEN-Heading-1"/>
    <w:next w:val="76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9">
    <w:name w:val="KWMEN-Heading-2"/>
    <w:next w:val="76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Heading-3"/>
    <w:next w:val="76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5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6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7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8">
    <w:name w:val="KWMEN-Attachment"/>
    <w:next w:val="76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9">
    <w:name w:val="KWMEN-Schedule"/>
    <w:next w:val="76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0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92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3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4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5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6">
    <w:name w:val="KWMJP-大标题JP"/>
    <w:next w:val="97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7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8">
    <w:name w:val="KWMJP-小标题JP"/>
    <w:next w:val="97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9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一级标题JP"/>
    <w:next w:val="97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101">
    <w:name w:val="KWMJP-二级标题JP"/>
    <w:next w:val="97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7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8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9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10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11">
    <w:name w:val="正文文本 字符"/>
    <w:basedOn w:val="30"/>
    <w:link w:val="3"/>
    <w:qFormat/>
    <w:uiPriority w:val="0"/>
  </w:style>
  <w:style w:type="character" w:customStyle="1" w:styleId="112">
    <w:name w:val="标题 字符"/>
    <w:basedOn w:val="30"/>
    <w:link w:val="27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3">
    <w:name w:val="副标题 字符"/>
    <w:basedOn w:val="30"/>
    <w:link w:val="23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4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5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</w:rPr>
  </w:style>
  <w:style w:type="paragraph" w:styleId="116">
    <w:name w:val="Quote"/>
    <w:basedOn w:val="1"/>
    <w:next w:val="1"/>
    <w:link w:val="117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17">
    <w:name w:val="引用 字符"/>
    <w:link w:val="116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8">
    <w:name w:val="Intense Quote"/>
    <w:basedOn w:val="1"/>
    <w:next w:val="1"/>
    <w:link w:val="119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19">
    <w:name w:val="明显引用 字符"/>
    <w:link w:val="118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20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21">
    <w:name w:val="批注框文本 字符"/>
    <w:basedOn w:val="30"/>
    <w:link w:val="19"/>
    <w:semiHidden/>
    <w:qFormat/>
    <w:uiPriority w:val="0"/>
    <w:rPr>
      <w:rFonts w:ascii="Times New Roman" w:hAnsi="Times New Roman" w:eastAsia="宋体" w:cs="Times New Roman"/>
      <w:kern w:val="0"/>
      <w:sz w:val="18"/>
      <w:szCs w:val="18"/>
      <w:lang w:val="en-GB" w:bidi="ar-AE"/>
    </w:rPr>
  </w:style>
  <w:style w:type="character" w:customStyle="1" w:styleId="122">
    <w:name w:val="批注文字 字符"/>
    <w:basedOn w:val="30"/>
    <w:link w:val="15"/>
    <w:semiHidden/>
    <w:qFormat/>
    <w:uiPriority w:val="0"/>
    <w:rPr>
      <w:rFonts w:ascii="Times New Roman" w:hAnsi="Times New Roman" w:eastAsia="宋体" w:cs="Times New Roman"/>
      <w:kern w:val="0"/>
      <w:sz w:val="24"/>
      <w:szCs w:val="24"/>
      <w:lang w:val="en-GB" w:bidi="ar-AE"/>
    </w:rPr>
  </w:style>
  <w:style w:type="character" w:customStyle="1" w:styleId="123">
    <w:name w:val="批注主题 字符"/>
    <w:basedOn w:val="122"/>
    <w:link w:val="28"/>
    <w:semiHidden/>
    <w:qFormat/>
    <w:uiPriority w:val="0"/>
    <w:rPr>
      <w:rFonts w:ascii="Times New Roman" w:hAnsi="Times New Roman" w:eastAsia="宋体" w:cs="Times New Roman"/>
      <w:b/>
      <w:bCs/>
      <w:kern w:val="0"/>
      <w:sz w:val="24"/>
      <w:szCs w:val="24"/>
      <w:lang w:val="en-GB" w:bidi="ar-AE"/>
    </w:rPr>
  </w:style>
  <w:style w:type="character" w:customStyle="1" w:styleId="124">
    <w:name w:val="页脚 字符"/>
    <w:basedOn w:val="30"/>
    <w:link w:val="20"/>
    <w:semiHidden/>
    <w:qFormat/>
    <w:uiPriority w:val="0"/>
    <w:rPr>
      <w:rFonts w:ascii="Times New Roman" w:hAnsi="Times New Roman" w:eastAsia="宋体" w:cs="Times New Roman"/>
      <w:kern w:val="0"/>
      <w:sz w:val="18"/>
      <w:szCs w:val="18"/>
      <w:lang w:val="en-GB" w:bidi="ar-A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1</Pages>
  <Words>570</Words>
  <Characters>588</Characters>
  <Lines>24</Lines>
  <Paragraphs>21</Paragraphs>
  <TotalTime>18</TotalTime>
  <ScaleCrop>false</ScaleCrop>
  <LinksUpToDate>false</LinksUpToDate>
  <CharactersWithSpaces>1137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2025-12-23T01:52:00Z</dcterms:created>
  <dc:creator>KWM</dc:creator>
  <cp:keywords>blank</cp:keywords>
  <cp:lastModifiedBy>scjgj</cp:lastModifiedBy>
  <cp:lastPrinted>1996-04-16T19:47:00Z</cp:lastPrinted>
  <dcterms:modified xsi:type="dcterms:W3CDTF">2025-12-30T10:40:53Z</dcterms:modified>
  <dc:subject>Blank Template</dc:subject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