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bookmarkEnd w:id="0"/>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滁州市城市投资控股集团有限公司收购广州毅昌科技股份有限公司股权案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滁州市城市投资控股集团有限公司（“滁州城投”）实际单独控制的滁州蔚然科技发展合伙企业（有限合伙）（“滁州蔚然”）与高金技术产业集团有限公司（“高金集团”）签署股份转让协议，滁州城投通过滁州蔚然收购广州毅昌科技股份有限公司（“毅昌科技”）25.3347%的股份。交易前，高金集团持有毅昌科技25.3347%的股份，单独控制毅昌科技。交易后，滁州城投持有毅昌科技25.3347%的股份，单独控制毅昌科技。</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3"/>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.滁州城投</w:t>
            </w:r>
          </w:p>
        </w:tc>
        <w:tc>
          <w:tcPr>
            <w:tcW w:w="6224" w:type="dxa"/>
            <w:vAlign w:val="center"/>
          </w:tcPr>
          <w:p w14:paraId="3B11A71F">
            <w:pPr>
              <w:pStyle w:val="3"/>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滁州城投于2008年5月23日成立于安徽省滁州市，主要业务为城市基础设施建设、保障房开发建设、土地流转、金融板块投资运营和矿产资源销售。</w:t>
            </w:r>
          </w:p>
          <w:p w14:paraId="60FC70B0">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滁州城投是滁洲市国资委下属企业。</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3"/>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3"/>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2.毅昌科技</w:t>
            </w:r>
          </w:p>
        </w:tc>
        <w:tc>
          <w:tcPr>
            <w:tcW w:w="6224" w:type="dxa"/>
            <w:vAlign w:val="center"/>
          </w:tcPr>
          <w:p w14:paraId="01D8F59D">
            <w:pPr>
              <w:pStyle w:val="3"/>
              <w:widowControl/>
              <w:adjustRightInd w:val="0"/>
              <w:snapToGrid w:val="0"/>
              <w:spacing w:after="0"/>
              <w:rPr>
                <w:rFonts w:hint="eastAsia" w:ascii="宋体" w:hAnsi="宋体" w:cs="宋体"/>
                <w:sz w:val="24"/>
              </w:rPr>
            </w:pPr>
            <w:r>
              <w:rPr>
                <w:rFonts w:hint="eastAsia" w:ascii="宋体" w:hAnsi="宋体" w:cs="宋体"/>
                <w:sz w:val="24"/>
              </w:rPr>
              <w:t>毅昌科技于1997年9月12日成立于广东省广州市，为深圳证券交易所上市公司，主要业务为塑料零件及其他塑料制品制造，业务领域覆盖新能源行业、汽车行业、家电行业、医疗健康行业。</w:t>
            </w:r>
          </w:p>
          <w:p w14:paraId="50E378A8">
            <w:pPr>
              <w:pStyle w:val="3"/>
              <w:widowControl/>
              <w:adjustRightInd w:val="0"/>
              <w:snapToGrid w:val="0"/>
              <w:spacing w:after="0"/>
              <w:rPr>
                <w:rFonts w:hint="default" w:ascii="Times New Roman" w:hAnsi="Times New Roman" w:cs="Times New Roman"/>
                <w:sz w:val="24"/>
              </w:rPr>
            </w:pPr>
            <w:r>
              <w:rPr>
                <w:rFonts w:hint="eastAsia" w:ascii="宋体" w:hAnsi="宋体" w:cs="宋体"/>
                <w:sz w:val="24"/>
              </w:rPr>
              <w:t>毅昌科技最终控制人为自然人。该自然人实际控制的高金集团的主要业务为自有资金投资、商务咨询。</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3"/>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3"/>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3"/>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79248CA">
            <w:pPr>
              <w:pStyle w:val="3"/>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cs="Times New Roman"/>
                <w:b/>
                <w:color w:val="000000" w:themeColor="text1"/>
                <w:kern w:val="0"/>
                <w:sz w:val="24"/>
                <w:szCs w:val="24"/>
                <w:lang w:val="en-US" w:eastAsia="zh-CN" w:bidi="ar-SA"/>
                <w14:textFill>
                  <w14:solidFill>
                    <w14:schemeClr w14:val="tx1"/>
                  </w14:solidFill>
                </w14:textFill>
              </w:rPr>
              <w:t>混合集中</w:t>
            </w:r>
            <w:r>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t>：</w:t>
            </w:r>
          </w:p>
          <w:p w14:paraId="3B47E124">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2024年中国境内汽车外饰塑料件市场：</w:t>
            </w:r>
          </w:p>
          <w:p w14:paraId="4F82E052">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毅昌科技：0-5%</w:t>
            </w:r>
          </w:p>
          <w:p w14:paraId="05FC461F">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2024年中国境内家电塑料结构件市场：</w:t>
            </w:r>
          </w:p>
          <w:p w14:paraId="626ABB60">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毅昌科技：0-5%</w:t>
            </w:r>
          </w:p>
          <w:p w14:paraId="2AF2378B">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2024年中国境内家电钣金件市场：</w:t>
            </w:r>
          </w:p>
          <w:p w14:paraId="2A024C64">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毅昌科技：0-5%</w:t>
            </w:r>
          </w:p>
          <w:p w14:paraId="79D7E326">
            <w:pPr>
              <w:pStyle w:val="3"/>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2024年中国境内新能源汽车动力电池液冷板市场：</w:t>
            </w:r>
          </w:p>
          <w:p w14:paraId="75CF8F52">
            <w:pPr>
              <w:pStyle w:val="3"/>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毅昌科技：0-5%</w:t>
            </w: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3A749A"/>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26C6CEB"/>
    <w:rsid w:val="436E421B"/>
    <w:rsid w:val="43D81ACB"/>
    <w:rsid w:val="43E353FE"/>
    <w:rsid w:val="443B7A46"/>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1C80456"/>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1B1B2F"/>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2C32D0"/>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0B7BB6"/>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link w:val="19"/>
    <w:unhideWhenUsed/>
    <w:qFormat/>
    <w:uiPriority w:val="99"/>
    <w:pPr>
      <w:spacing w:after="120"/>
    </w:pPr>
  </w:style>
  <w:style w:type="paragraph" w:customStyle="1" w:styleId="5">
    <w:name w:val="名称2"/>
    <w:basedOn w:val="6"/>
    <w:qFormat/>
    <w:uiPriority w:val="0"/>
    <w:pPr>
      <w:spacing w:after="312" w:afterLines="100"/>
    </w:pPr>
    <w:rPr>
      <w:b w:val="0"/>
      <w:sz w:val="20"/>
    </w:rPr>
  </w:style>
  <w:style w:type="paragraph" w:customStyle="1" w:styleId="6">
    <w:name w:val="名称"/>
    <w:basedOn w:val="1"/>
    <w:qFormat/>
    <w:uiPriority w:val="0"/>
    <w:pPr>
      <w:jc w:val="center"/>
    </w:pPr>
    <w:rPr>
      <w:b/>
      <w:kern w:val="0"/>
      <w:sz w:val="44"/>
      <w:szCs w:val="20"/>
    </w:rPr>
  </w:style>
  <w:style w:type="paragraph" w:styleId="7">
    <w:name w:val="Normal Indent"/>
    <w:basedOn w:val="1"/>
    <w:next w:val="1"/>
    <w:qFormat/>
    <w:uiPriority w:val="99"/>
  </w:style>
  <w:style w:type="paragraph" w:styleId="8">
    <w:name w:val="annotation text"/>
    <w:basedOn w:val="1"/>
    <w:qFormat/>
    <w:uiPriority w:val="0"/>
    <w:pPr>
      <w:jc w:val="left"/>
    </w:pPr>
  </w:style>
  <w:style w:type="paragraph" w:styleId="9">
    <w:name w:val="footer"/>
    <w:basedOn w:val="1"/>
    <w:link w:val="18"/>
    <w:qFormat/>
    <w:uiPriority w:val="0"/>
    <w:pPr>
      <w:tabs>
        <w:tab w:val="center" w:pos="4153"/>
        <w:tab w:val="right" w:pos="8306"/>
      </w:tabs>
      <w:snapToGrid w:val="0"/>
      <w:jc w:val="left"/>
    </w:pPr>
    <w:rPr>
      <w:sz w:val="18"/>
      <w:szCs w:val="18"/>
    </w:rPr>
  </w:style>
  <w:style w:type="paragraph" w:styleId="10">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10"/>
    <w:qFormat/>
    <w:uiPriority w:val="0"/>
    <w:rPr>
      <w:rFonts w:ascii="Times New Roman" w:hAnsi="Times New Roman" w:eastAsia="宋体" w:cs="Times New Roman"/>
      <w:kern w:val="2"/>
      <w:sz w:val="18"/>
      <w:szCs w:val="18"/>
    </w:rPr>
  </w:style>
  <w:style w:type="character" w:customStyle="1" w:styleId="18">
    <w:name w:val="页脚 字符"/>
    <w:basedOn w:val="14"/>
    <w:link w:val="9"/>
    <w:qFormat/>
    <w:uiPriority w:val="0"/>
    <w:rPr>
      <w:rFonts w:ascii="Times New Roman" w:hAnsi="Times New Roman" w:eastAsia="宋体" w:cs="Times New Roman"/>
      <w:kern w:val="2"/>
      <w:sz w:val="18"/>
      <w:szCs w:val="18"/>
    </w:rPr>
  </w:style>
  <w:style w:type="character" w:customStyle="1" w:styleId="19">
    <w:name w:val="正文文本 字符"/>
    <w:basedOn w:val="14"/>
    <w:link w:val="3"/>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9"/>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2</Pages>
  <Words>1865</Words>
  <Characters>2031</Characters>
  <Lines>1</Lines>
  <Paragraphs>1</Paragraphs>
  <TotalTime>29</TotalTime>
  <ScaleCrop>false</ScaleCrop>
  <LinksUpToDate>false</LinksUpToDate>
  <CharactersWithSpaces>2894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2026-01-23T01:44:42Z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