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D39C0">
      <w:pPr>
        <w:widowControl/>
        <w:spacing w:after="240"/>
        <w:jc w:val="center"/>
        <w:rPr>
          <w:rFonts w:hint="default" w:ascii="Times New Roman" w:hAnsi="Times New Roman" w:eastAsia="方正小标宋简体" w:cs="Times New Roman"/>
          <w:bCs/>
          <w:kern w:val="0"/>
          <w:sz w:val="44"/>
          <w:szCs w:val="44"/>
          <w:lang w:val="en-GB" w:bidi="ar-AE"/>
        </w:rPr>
      </w:pPr>
      <w:bookmarkStart w:id="0" w:name="_GoBack"/>
      <w:r>
        <w:rPr>
          <w:rFonts w:hint="default" w:ascii="Times New Roman" w:hAnsi="Times New Roman" w:eastAsia="方正小标宋简体" w:cs="Times New Roman"/>
          <w:bCs/>
          <w:kern w:val="0"/>
          <w:sz w:val="44"/>
          <w:szCs w:val="44"/>
          <w:lang w:val="en-GB" w:bidi="ar-AE"/>
        </w:rPr>
        <w:t>经营者集中简易案件公示表</w:t>
      </w:r>
    </w:p>
    <w:bookmarkEnd w:id="0"/>
    <w:tbl>
      <w:tblPr>
        <w:tblStyle w:val="5"/>
        <w:tblW w:w="0" w:type="auto"/>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2B58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4046EC5C">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案件名称</w:t>
            </w:r>
          </w:p>
        </w:tc>
        <w:tc>
          <w:tcPr>
            <w:tcW w:w="7700" w:type="dxa"/>
            <w:gridSpan w:val="2"/>
            <w:vAlign w:val="center"/>
          </w:tcPr>
          <w:p w14:paraId="25096FD8">
            <w:pPr>
              <w:keepNext w:val="0"/>
              <w:keepLines w:val="0"/>
              <w:suppressLineNumbers w:val="0"/>
              <w:adjustRightInd w:val="0"/>
              <w:snapToGrid w:val="0"/>
              <w:spacing w:before="0" w:beforeAutospacing="0" w:after="0" w:afterAutospacing="0"/>
              <w:ind w:left="0" w:right="0"/>
              <w:rPr>
                <w:rFonts w:hint="default"/>
              </w:rPr>
            </w:pPr>
            <w:r>
              <w:rPr>
                <w:rFonts w:hint="default"/>
                <w:sz w:val="24"/>
                <w:lang w:bidi="ar"/>
              </w:rPr>
              <w:t>北汽福田汽车股份有限公司与广东省外贸开发有限公司等经营者新设合营企业案</w:t>
            </w:r>
          </w:p>
        </w:tc>
      </w:tr>
      <w:tr w14:paraId="6DFA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1940" w:type="dxa"/>
            <w:shd w:val="clear" w:color="auto" w:fill="D9D9D9"/>
            <w:vAlign w:val="center"/>
          </w:tcPr>
          <w:p w14:paraId="68A9F029">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交易概况（限200字内）</w:t>
            </w:r>
          </w:p>
        </w:tc>
        <w:tc>
          <w:tcPr>
            <w:tcW w:w="7700" w:type="dxa"/>
            <w:gridSpan w:val="2"/>
            <w:vAlign w:val="center"/>
          </w:tcPr>
          <w:p w14:paraId="1BC6318D">
            <w:pPr>
              <w:pStyle w:val="4"/>
              <w:keepNext w:val="0"/>
              <w:keepLines w:val="0"/>
              <w:suppressLineNumbers w:val="0"/>
              <w:spacing w:before="0" w:beforeAutospacing="0" w:after="0" w:afterAutospacing="0" w:line="360" w:lineRule="exact"/>
              <w:ind w:left="0" w:right="0"/>
              <w:rPr>
                <w:rFonts w:hint="default"/>
              </w:rPr>
            </w:pPr>
            <w:r>
              <w:rPr>
                <w:rFonts w:hint="default"/>
                <w:kern w:val="0"/>
                <w:sz w:val="24"/>
                <w:lang w:val="en-GB" w:bidi="ar-AE"/>
              </w:rPr>
              <w:t>北汽福田汽车股份有限公司（“北汽福田”）与广东省外贸开发有限公司（“广东外贸”）及青拓集团有限公司（“青拓集团”）签署协议，共同出资在印尼组建合营企业。合营企业主要从事纯电动重卡车业务。交易后，北汽福田、广东外贸、青拓集团分别持有合营企业51%，30%，19%的股权，共同控制合营企业。</w:t>
            </w:r>
          </w:p>
        </w:tc>
      </w:tr>
      <w:tr w14:paraId="35E4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1940" w:type="dxa"/>
            <w:vMerge w:val="restart"/>
            <w:shd w:val="clear" w:color="auto" w:fill="D9D9D9"/>
            <w:vAlign w:val="center"/>
          </w:tcPr>
          <w:p w14:paraId="0048BABD">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default" w:cs="宋体"/>
                <w:bCs/>
                <w:color w:val="000000"/>
                <w:sz w:val="24"/>
              </w:rPr>
              <w:t>参与集中的经营者简介（每个限100字以内）</w:t>
            </w:r>
          </w:p>
        </w:tc>
        <w:tc>
          <w:tcPr>
            <w:tcW w:w="1607" w:type="dxa"/>
            <w:vAlign w:val="center"/>
          </w:tcPr>
          <w:p w14:paraId="57D05119">
            <w:pPr>
              <w:pStyle w:val="3"/>
              <w:keepNext w:val="0"/>
              <w:keepLines w:val="0"/>
              <w:suppressLineNumbers w:val="0"/>
              <w:adjustRightInd w:val="0"/>
              <w:snapToGrid w:val="0"/>
              <w:spacing w:before="0" w:beforeAutospacing="0" w:after="0" w:afterAutospacing="0"/>
              <w:ind w:left="0" w:right="0"/>
              <w:rPr>
                <w:rFonts w:hint="eastAsia" w:eastAsia="宋体" w:cs="宋体"/>
                <w:bCs/>
                <w:color w:val="000000"/>
                <w:sz w:val="24"/>
                <w:szCs w:val="24"/>
                <w:lang w:val="en-US" w:eastAsia="zh-CN"/>
              </w:rPr>
            </w:pPr>
            <w:r>
              <w:rPr>
                <w:rFonts w:hint="eastAsia" w:cs="宋体"/>
                <w:bCs/>
                <w:color w:val="auto"/>
                <w:sz w:val="24"/>
                <w:szCs w:val="24"/>
                <w:lang w:val="en-US" w:eastAsia="zh-CN"/>
              </w:rPr>
              <w:t>1.</w:t>
            </w:r>
            <w:r>
              <w:rPr>
                <w:rFonts w:hint="eastAsia"/>
                <w:color w:val="auto"/>
                <w:sz w:val="24"/>
                <w:lang w:eastAsia="zh-CN"/>
              </w:rPr>
              <w:t>北汽福田</w:t>
            </w:r>
          </w:p>
        </w:tc>
        <w:tc>
          <w:tcPr>
            <w:tcW w:w="6093" w:type="dxa"/>
            <w:vAlign w:val="center"/>
          </w:tcPr>
          <w:p w14:paraId="20FE47A7">
            <w:pPr>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北汽福田于1996年8月28日成立于北京市，为上海证券交易所上市公司，主要业务为乘用车、商用车及大型机械的研发、生产与销售业务。</w:t>
            </w:r>
          </w:p>
          <w:p w14:paraId="2727A31C">
            <w:pPr>
              <w:keepNext w:val="0"/>
              <w:keepLines w:val="0"/>
              <w:suppressLineNumbers w:val="0"/>
              <w:adjustRightInd w:val="0"/>
              <w:snapToGrid w:val="0"/>
              <w:spacing w:before="0" w:beforeAutospacing="0" w:after="0" w:afterAutospacing="0"/>
              <w:ind w:left="0" w:right="0"/>
              <w:rPr>
                <w:rFonts w:hint="default" w:eastAsia="宋体"/>
                <w:sz w:val="24"/>
                <w:szCs w:val="24"/>
                <w:lang w:val="en-US" w:eastAsia="zh-CN"/>
              </w:rPr>
            </w:pPr>
            <w:r>
              <w:rPr>
                <w:rFonts w:hint="eastAsia" w:cs="宋体"/>
                <w:bCs/>
                <w:color w:val="000000"/>
                <w:sz w:val="24"/>
              </w:rPr>
              <w:t>北汽福田最终控制人为北京国有资本运营管理有限公司，主要业务为从事资本运营、投资管理、基金管理业务，涉及电子、汽车、航空发动机、环保、农业等领域。</w:t>
            </w:r>
          </w:p>
        </w:tc>
      </w:tr>
      <w:tr w14:paraId="54C7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1940" w:type="dxa"/>
            <w:vMerge w:val="continue"/>
            <w:shd w:val="clear" w:color="auto" w:fill="D9D9D9"/>
            <w:vAlign w:val="center"/>
          </w:tcPr>
          <w:p w14:paraId="7DF58230">
            <w:pPr>
              <w:pStyle w:val="3"/>
              <w:keepNext w:val="0"/>
              <w:keepLines w:val="0"/>
              <w:suppressLineNumbers w:val="0"/>
              <w:adjustRightInd w:val="0"/>
              <w:snapToGrid w:val="0"/>
              <w:spacing w:before="0" w:beforeAutospacing="0" w:after="0" w:afterAutospacing="0"/>
              <w:ind w:left="0" w:right="0"/>
              <w:rPr>
                <w:rFonts w:hint="default"/>
              </w:rPr>
            </w:pPr>
          </w:p>
        </w:tc>
        <w:tc>
          <w:tcPr>
            <w:tcW w:w="1607" w:type="dxa"/>
            <w:vAlign w:val="center"/>
          </w:tcPr>
          <w:p w14:paraId="79C0D86E">
            <w:pPr>
              <w:pStyle w:val="3"/>
              <w:keepNext w:val="0"/>
              <w:keepLines w:val="0"/>
              <w:suppressLineNumbers w:val="0"/>
              <w:adjustRightInd w:val="0"/>
              <w:snapToGrid w:val="0"/>
              <w:spacing w:before="0" w:beforeAutospacing="0" w:after="0" w:afterAutospacing="0"/>
              <w:ind w:left="0" w:right="0"/>
              <w:rPr>
                <w:rFonts w:hint="eastAsia" w:eastAsia="宋体" w:cs="宋体"/>
                <w:bCs/>
                <w:color w:val="000000"/>
                <w:sz w:val="24"/>
                <w:szCs w:val="24"/>
                <w:lang w:val="en-US" w:eastAsia="zh-CN"/>
              </w:rPr>
            </w:pPr>
            <w:r>
              <w:rPr>
                <w:rFonts w:hint="eastAsia" w:cs="宋体"/>
                <w:bCs/>
                <w:color w:val="auto"/>
                <w:sz w:val="24"/>
                <w:szCs w:val="24"/>
                <w:lang w:val="en-US" w:eastAsia="zh-CN"/>
              </w:rPr>
              <w:t>2.</w:t>
            </w:r>
            <w:r>
              <w:rPr>
                <w:rFonts w:hint="eastAsia"/>
                <w:color w:val="auto"/>
                <w:sz w:val="24"/>
                <w:lang w:eastAsia="zh-CN"/>
              </w:rPr>
              <w:t>广东外贸</w:t>
            </w:r>
          </w:p>
        </w:tc>
        <w:tc>
          <w:tcPr>
            <w:tcW w:w="6093" w:type="dxa"/>
            <w:vAlign w:val="center"/>
          </w:tcPr>
          <w:p w14:paraId="41A38302">
            <w:pPr>
              <w:pStyle w:val="3"/>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广东外贸于1984年8月25日成立于广东省广州市，主要业务为一般贸易进出口业务。</w:t>
            </w:r>
          </w:p>
          <w:p w14:paraId="4D9CBF83">
            <w:pPr>
              <w:pStyle w:val="3"/>
              <w:keepNext w:val="0"/>
              <w:keepLines w:val="0"/>
              <w:suppressLineNumbers w:val="0"/>
              <w:adjustRightInd w:val="0"/>
              <w:snapToGrid w:val="0"/>
              <w:spacing w:before="0" w:beforeAutospacing="0" w:after="0" w:afterAutospacing="0"/>
              <w:ind w:left="0" w:right="0"/>
              <w:rPr>
                <w:rFonts w:hint="eastAsia" w:cs="宋体"/>
                <w:bCs/>
                <w:color w:val="000000"/>
                <w:sz w:val="24"/>
                <w:szCs w:val="24"/>
              </w:rPr>
            </w:pPr>
            <w:r>
              <w:rPr>
                <w:rFonts w:hint="eastAsia" w:cs="宋体"/>
                <w:bCs/>
                <w:color w:val="000000"/>
                <w:sz w:val="24"/>
              </w:rPr>
              <w:t>广东外贸最终控制人为广东省广新控股集团有限公司，主要业务为新材料、生物医药与食品、数字创意与融合服务业务。 </w:t>
            </w:r>
          </w:p>
        </w:tc>
      </w:tr>
      <w:tr w14:paraId="7EB3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rPr>
        <w:tc>
          <w:tcPr>
            <w:tcW w:w="1940" w:type="dxa"/>
            <w:vMerge w:val="continue"/>
            <w:shd w:val="clear" w:color="auto" w:fill="D9D9D9"/>
            <w:vAlign w:val="center"/>
          </w:tcPr>
          <w:p w14:paraId="4ED9E02F">
            <w:pPr>
              <w:pStyle w:val="3"/>
              <w:keepNext w:val="0"/>
              <w:keepLines w:val="0"/>
              <w:suppressLineNumbers w:val="0"/>
              <w:adjustRightInd w:val="0"/>
              <w:snapToGrid w:val="0"/>
              <w:spacing w:before="0" w:beforeAutospacing="0" w:after="0" w:afterAutospacing="0"/>
              <w:ind w:left="0" w:right="0"/>
              <w:rPr>
                <w:rFonts w:hint="default"/>
              </w:rPr>
            </w:pPr>
          </w:p>
        </w:tc>
        <w:tc>
          <w:tcPr>
            <w:tcW w:w="1607" w:type="dxa"/>
            <w:vAlign w:val="center"/>
          </w:tcPr>
          <w:p w14:paraId="1F833A52">
            <w:pPr>
              <w:pStyle w:val="3"/>
              <w:keepNext w:val="0"/>
              <w:keepLines w:val="0"/>
              <w:suppressLineNumbers w:val="0"/>
              <w:adjustRightInd w:val="0"/>
              <w:snapToGrid w:val="0"/>
              <w:spacing w:before="0" w:beforeAutospacing="0" w:after="0" w:afterAutospacing="0"/>
              <w:ind w:left="0" w:right="0"/>
              <w:rPr>
                <w:rFonts w:hint="eastAsia" w:cs="宋体"/>
                <w:bCs/>
                <w:color w:val="000000"/>
                <w:sz w:val="24"/>
                <w:szCs w:val="24"/>
                <w:lang w:val="en-US" w:eastAsia="zh-CN"/>
              </w:rPr>
            </w:pPr>
            <w:r>
              <w:rPr>
                <w:rFonts w:hint="default" w:ascii="Times New Roman" w:hAnsi="Times New Roman" w:cs="Times New Roman"/>
                <w:b w:val="0"/>
                <w:bCs/>
                <w:color w:val="000000"/>
                <w:kern w:val="0"/>
                <w:sz w:val="24"/>
                <w:szCs w:val="24"/>
                <w:lang w:val="en-US" w:eastAsia="zh-CN" w:bidi="ar-AE"/>
              </w:rPr>
              <w:t>3.</w:t>
            </w:r>
            <w:r>
              <w:rPr>
                <w:rFonts w:hint="eastAsia" w:ascii="宋体" w:hAnsi="宋体" w:cs="宋体"/>
                <w:b w:val="0"/>
                <w:bCs/>
                <w:color w:val="000000"/>
                <w:kern w:val="0"/>
                <w:sz w:val="24"/>
                <w:szCs w:val="24"/>
                <w:lang w:val="en-US" w:eastAsia="zh-CN" w:bidi="ar-AE"/>
              </w:rPr>
              <w:t>青拓集团</w:t>
            </w:r>
          </w:p>
        </w:tc>
        <w:tc>
          <w:tcPr>
            <w:tcW w:w="6093" w:type="dxa"/>
            <w:vAlign w:val="center"/>
          </w:tcPr>
          <w:p w14:paraId="26A3BD0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宋体" w:hAnsi="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青拓集团</w:t>
            </w:r>
            <w:r>
              <w:rPr>
                <w:rFonts w:hint="default" w:ascii="Times New Roman" w:hAnsi="Times New Roman" w:cs="Times New Roman"/>
                <w:b w:val="0"/>
                <w:bCs/>
                <w:color w:val="000000"/>
                <w:kern w:val="0"/>
                <w:sz w:val="24"/>
                <w:szCs w:val="24"/>
                <w:lang w:val="en-US" w:eastAsia="zh-CN" w:bidi="ar-AE"/>
              </w:rPr>
              <w:t>于2011年7月11日</w:t>
            </w:r>
            <w:r>
              <w:rPr>
                <w:rFonts w:hint="eastAsia" w:ascii="宋体" w:hAnsi="宋体" w:cs="宋体"/>
                <w:b w:val="0"/>
                <w:bCs/>
                <w:color w:val="000000"/>
                <w:kern w:val="0"/>
                <w:sz w:val="24"/>
                <w:szCs w:val="24"/>
                <w:lang w:val="en-US" w:eastAsia="zh-CN" w:bidi="ar-AE"/>
              </w:rPr>
              <w:t>成立于福建省福安市，主要业务为不锈钢产业。</w:t>
            </w:r>
          </w:p>
          <w:p w14:paraId="005154FE">
            <w:pPr>
              <w:pStyle w:val="3"/>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ascii="宋体" w:hAnsi="宋体" w:cs="宋体"/>
                <w:b w:val="0"/>
                <w:bCs/>
                <w:color w:val="000000"/>
                <w:kern w:val="0"/>
                <w:sz w:val="24"/>
                <w:szCs w:val="24"/>
                <w:lang w:val="en-US" w:eastAsia="zh-CN" w:bidi="ar-AE"/>
              </w:rPr>
              <w:t>青拓集团最终控制人为自然人，主要业务为不锈钢产业、储能/动力电池电芯、模组。</w:t>
            </w:r>
          </w:p>
        </w:tc>
      </w:tr>
      <w:tr w14:paraId="0A7BE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5DB4D512">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简易案件理由（可以单选，也可以多选）</w:t>
            </w:r>
          </w:p>
        </w:tc>
        <w:tc>
          <w:tcPr>
            <w:tcW w:w="7700" w:type="dxa"/>
            <w:gridSpan w:val="2"/>
            <w:vAlign w:val="center"/>
          </w:tcPr>
          <w:p w14:paraId="29AD9942">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1、在同一相关市场，所有参与集中的经营者所占市场份额之和小于15%。</w:t>
            </w:r>
          </w:p>
        </w:tc>
      </w:tr>
      <w:tr w14:paraId="434F9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61D73319">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0FAF4715">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2、存在上下游关系的参与集中的经营者，在上下游市场所占的市场份额均小于25%。</w:t>
            </w:r>
          </w:p>
        </w:tc>
      </w:tr>
      <w:tr w14:paraId="06090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02DB942">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32D80FD9">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3、不在同一相关市场、也不存在上下游关系的参与集中的经营者，在与交易有关的每个市场所占的份额均小于25%。</w:t>
            </w:r>
          </w:p>
        </w:tc>
      </w:tr>
      <w:tr w14:paraId="56FF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193AFA9B">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4D7F6689">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4、参与集中的经营者在中国境外设立合营企业，合营企业不在中国境内从事经济活动。</w:t>
            </w:r>
          </w:p>
        </w:tc>
      </w:tr>
      <w:tr w14:paraId="7EC0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55542C1D">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3F92E0F8">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5、参与集中的经营者收购境外企业股权或资产的，该境外企业不在中国境内从事经济活动。</w:t>
            </w:r>
          </w:p>
        </w:tc>
      </w:tr>
      <w:tr w14:paraId="5E380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50AA1AC2">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2465270A">
            <w:pPr>
              <w:pStyle w:val="3"/>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6、由两个以上的经营者共同控制的合营企业，通过集中被其中一个或一个以上经营者控制。</w:t>
            </w:r>
          </w:p>
        </w:tc>
      </w:tr>
      <w:tr w14:paraId="1750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14:paraId="47EAB860">
            <w:pPr>
              <w:pStyle w:val="3"/>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备注</w:t>
            </w:r>
          </w:p>
        </w:tc>
        <w:tc>
          <w:tcPr>
            <w:tcW w:w="7700" w:type="dxa"/>
            <w:gridSpan w:val="2"/>
            <w:vAlign w:val="center"/>
          </w:tcPr>
          <w:p w14:paraId="55F046B4">
            <w:pPr>
              <w:keepNext w:val="0"/>
              <w:keepLines w:val="0"/>
              <w:widowControl/>
              <w:suppressLineNumbers w:val="0"/>
              <w:adjustRightInd w:val="0"/>
              <w:snapToGrid w:val="0"/>
              <w:spacing w:before="0" w:beforeAutospacing="0" w:after="0" w:afterAutospacing="0" w:line="240" w:lineRule="auto"/>
              <w:ind w:left="0" w:right="0"/>
              <w:jc w:val="left"/>
              <w:rPr>
                <w:rFonts w:hint="default" w:ascii="Times New Roman" w:hAnsi="Times New Roman" w:eastAsia="宋体" w:cs="Times New Roman"/>
                <w:color w:val="auto"/>
                <w:kern w:val="2"/>
                <w:sz w:val="24"/>
                <w:szCs w:val="24"/>
                <w:lang w:val="en-US" w:eastAsia="zh-CN" w:bidi="ar-SA"/>
              </w:rPr>
            </w:pPr>
            <w:r>
              <w:rPr>
                <w:rFonts w:hint="default"/>
                <w:color w:val="auto"/>
                <w:sz w:val="24"/>
              </w:rPr>
              <w:t>不适用</w:t>
            </w:r>
          </w:p>
          <w:p w14:paraId="624EABBB">
            <w:pPr>
              <w:pStyle w:val="3"/>
              <w:keepNext w:val="0"/>
              <w:keepLines w:val="0"/>
              <w:suppressLineNumbers w:val="0"/>
              <w:adjustRightInd w:val="0"/>
              <w:snapToGrid w:val="0"/>
              <w:spacing w:before="0" w:beforeAutospacing="0" w:after="0" w:afterAutospacing="0"/>
              <w:ind w:left="0" w:right="0"/>
              <w:rPr>
                <w:rFonts w:hint="eastAsia" w:cs="Times New Roman"/>
                <w:b/>
                <w:bCs w:val="0"/>
                <w:color w:val="000000"/>
                <w:kern w:val="0"/>
                <w:sz w:val="24"/>
                <w:lang w:eastAsia="zh-CN" w:bidi="ar-AE"/>
              </w:rPr>
            </w:pPr>
          </w:p>
        </w:tc>
      </w:tr>
    </w:tbl>
    <w:p w14:paraId="1B624C0A">
      <w:pPr>
        <w:pStyle w:val="4"/>
        <w:rPr>
          <w:rFonts w:hint="default"/>
        </w:rPr>
      </w:pPr>
    </w:p>
    <w:p w14:paraId="0C369897"/>
    <w:sectPr>
      <w:pgSz w:w="11906" w:h="16838"/>
      <w:pgMar w:top="1440" w:right="1800" w:bottom="1440" w:left="1800" w:header="851" w:footer="992" w:gutter="0"/>
      <w:pgNumType w:fmt="decimal"/>
      <w:cols w:space="425" w:num="1"/>
      <w:formProt w:val="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46226"/>
    <w:rsid w:val="4E546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unhideWhenUsed/>
    <w:qFormat/>
    <w:uiPriority w:val="99"/>
    <w:pPr>
      <w:spacing w:after="120"/>
    </w:pPr>
  </w:style>
  <w:style w:type="paragraph" w:styleId="4">
    <w:name w:val="Normal Indent"/>
    <w:basedOn w:val="1"/>
    <w:next w:val="1"/>
    <w:qFormat/>
    <w:uiPriority w:val="99"/>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2026-03-02T01:42:00Z</dcterms:created>
  <dc:creator>郑玉丽</dc:creator>
  <cp:lastModifiedBy>郑玉丽</cp:lastModifiedBy>
  <dcterms:modified xsi:type="dcterms:W3CDTF">2026-03-02T01:42:58Z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76552180E941421C981AE9BA12C60FFA_11</vt:lpwstr>
  </property>
  <property fmtid="{D5CDD505-2E9C-101B-9397-08002B2CF9AE}" pid="4" name="KSOTemplateDocerSaveRecord">
    <vt:lpwstr>eyJoZGlkIjoiODNjM2VkZWUwYjdkZDYzZGY2NmZiZGNiZGIyMjFjYWIiLCJ1c2VySWQiOiIxMjE0ODEzMDc5In0=</vt:lpwstr>
  </property>
</Properties>
</file>