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6935" w:rsidRPr="00946B56" w:rsidRDefault="009E7C58">
      <w:pPr>
        <w:spacing w:line="440" w:lineRule="exact"/>
        <w:jc w:val="center"/>
        <w:rPr>
          <w:rFonts w:ascii="宋体" w:hAnsi="宋体"/>
          <w:b/>
          <w:bCs/>
          <w:sz w:val="30"/>
          <w:szCs w:val="30"/>
        </w:rPr>
      </w:pPr>
      <w:r w:rsidRPr="00946B56">
        <w:rPr>
          <w:rFonts w:ascii="宋体" w:hAnsi="宋体" w:hint="eastAsia"/>
          <w:b/>
          <w:bCs/>
          <w:sz w:val="30"/>
          <w:szCs w:val="30"/>
        </w:rPr>
        <w:t>经营者集中简易案件公示表</w:t>
      </w:r>
    </w:p>
    <w:p w:rsidR="00606935" w:rsidRDefault="00606935">
      <w:pPr>
        <w:spacing w:line="440" w:lineRule="exact"/>
        <w:rPr>
          <w:rFonts w:ascii="宋体" w:hAnsi="宋体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606935" w:rsidRPr="009E7C58">
        <w:tc>
          <w:tcPr>
            <w:tcW w:w="1809" w:type="dxa"/>
            <w:shd w:val="clear" w:color="auto" w:fill="D9D9D9"/>
          </w:tcPr>
          <w:p w:rsidR="00606935" w:rsidRPr="009E7C58" w:rsidRDefault="009E7C58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  <w:bookmarkStart w:id="0" w:name="_GoBack"/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案件名称</w:t>
            </w:r>
          </w:p>
        </w:tc>
        <w:tc>
          <w:tcPr>
            <w:tcW w:w="6949" w:type="dxa"/>
            <w:gridSpan w:val="2"/>
          </w:tcPr>
          <w:p w:rsidR="00606935" w:rsidRPr="009E7C58" w:rsidRDefault="009E7C58">
            <w:pPr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霸菱第六私募基金第二有限合伙与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PAI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合伙人简易股份公司收购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GB WFC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国际公司股权案</w:t>
            </w:r>
          </w:p>
        </w:tc>
      </w:tr>
      <w:tr w:rsidR="00606935" w:rsidRPr="009E7C58">
        <w:trPr>
          <w:trHeight w:val="993"/>
        </w:trPr>
        <w:tc>
          <w:tcPr>
            <w:tcW w:w="1809" w:type="dxa"/>
            <w:shd w:val="clear" w:color="auto" w:fill="D9D9D9"/>
          </w:tcPr>
          <w:p w:rsidR="00606935" w:rsidRPr="009E7C58" w:rsidRDefault="009E7C58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交易概况（限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200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字内）</w:t>
            </w:r>
          </w:p>
        </w:tc>
        <w:tc>
          <w:tcPr>
            <w:tcW w:w="6949" w:type="dxa"/>
            <w:gridSpan w:val="2"/>
          </w:tcPr>
          <w:p w:rsidR="00606935" w:rsidRPr="009E7C58" w:rsidRDefault="009E7C58">
            <w:pPr>
              <w:widowControl/>
              <w:snapToGrid w:val="0"/>
              <w:spacing w:after="240"/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本交易涉及霸菱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第六私募基金第二有限合伙（“</w:t>
            </w:r>
            <w:r w:rsidRPr="009E7C58">
              <w:rPr>
                <w:rFonts w:ascii="仿宋_GB2312" w:eastAsia="仿宋_GB2312" w:hAnsi="Times New Roman" w:cs="楷体" w:hint="eastAsia"/>
                <w:b/>
                <w:color w:val="000000" w:themeColor="text1"/>
                <w:sz w:val="30"/>
                <w:szCs w:val="30"/>
              </w:rPr>
              <w:t>霸菱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”）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和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PAI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合伙人简易股份公司（“</w:t>
            </w:r>
            <w:r w:rsidRPr="009E7C58">
              <w:rPr>
                <w:rFonts w:ascii="仿宋_GB2312" w:eastAsia="仿宋_GB2312" w:hAnsi="Times New Roman" w:cs="楷体" w:hint="eastAsia"/>
                <w:b/>
                <w:color w:val="000000" w:themeColor="text1"/>
                <w:sz w:val="30"/>
                <w:szCs w:val="30"/>
              </w:rPr>
              <w:t>P</w:t>
            </w:r>
            <w:r w:rsidRPr="009E7C58">
              <w:rPr>
                <w:rFonts w:ascii="仿宋_GB2312" w:eastAsia="仿宋_GB2312" w:hAnsi="Times New Roman" w:cs="楷体" w:hint="eastAsia"/>
                <w:b/>
                <w:color w:val="000000" w:themeColor="text1"/>
                <w:sz w:val="30"/>
                <w:szCs w:val="30"/>
              </w:rPr>
              <w:t>AI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”）共同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收购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GB WFC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国际公司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 xml:space="preserve"> 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（“</w:t>
            </w:r>
            <w:r w:rsidRPr="009E7C58">
              <w:rPr>
                <w:rFonts w:ascii="仿宋_GB2312" w:eastAsia="仿宋_GB2312" w:hAnsi="Times New Roman" w:cs="楷体" w:hint="eastAsia"/>
                <w:b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W</w:t>
            </w:r>
            <w:r w:rsidRPr="009E7C58">
              <w:rPr>
                <w:rFonts w:ascii="仿宋_GB2312" w:eastAsia="仿宋_GB2312" w:hAnsi="Times New Roman" w:cs="楷体" w:hint="eastAsia"/>
                <w:b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FC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”）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1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00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%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的股权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。交易完成后，霸菱和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PAI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将共同控制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W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FC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。</w:t>
            </w:r>
          </w:p>
        </w:tc>
      </w:tr>
      <w:tr w:rsidR="00606935" w:rsidRPr="009E7C58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606935" w:rsidRPr="009E7C58" w:rsidRDefault="009E7C58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参与集中的经营者简介</w:t>
            </w:r>
          </w:p>
        </w:tc>
        <w:tc>
          <w:tcPr>
            <w:tcW w:w="1796" w:type="dxa"/>
          </w:tcPr>
          <w:p w:rsidR="00606935" w:rsidRPr="009E7C58" w:rsidRDefault="009E7C58">
            <w:pPr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1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、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霸菱</w:t>
            </w:r>
          </w:p>
        </w:tc>
        <w:tc>
          <w:tcPr>
            <w:tcW w:w="5153" w:type="dxa"/>
          </w:tcPr>
          <w:p w:rsidR="00606935" w:rsidRPr="009E7C58" w:rsidRDefault="009E7C58">
            <w:pPr>
              <w:widowControl/>
              <w:snapToGrid w:val="0"/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</w:pP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  <w:t>霸</w:t>
            </w:r>
            <w:proofErr w:type="gramStart"/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  <w:t>菱设立</w:t>
            </w:r>
            <w:proofErr w:type="gramEnd"/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  <w:t>于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  <w:t>2014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  <w:t>年，是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  <w:t>霸菱第六私募基金的有限合伙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  <w:t>企业。霸菱第六基金投资多个产业领域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  <w:t xml:space="preserve">, 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  <w:t>包括制造业、教育、知识产权等。</w:t>
            </w:r>
          </w:p>
          <w:p w:rsidR="00606935" w:rsidRPr="009E7C58" w:rsidRDefault="00606935">
            <w:pPr>
              <w:widowControl/>
              <w:snapToGrid w:val="0"/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</w:pPr>
          </w:p>
        </w:tc>
      </w:tr>
      <w:tr w:rsidR="00606935" w:rsidRPr="009E7C58">
        <w:trPr>
          <w:trHeight w:val="1459"/>
        </w:trPr>
        <w:tc>
          <w:tcPr>
            <w:tcW w:w="1809" w:type="dxa"/>
            <w:vMerge/>
            <w:shd w:val="clear" w:color="auto" w:fill="D9D9D9"/>
          </w:tcPr>
          <w:p w:rsidR="00606935" w:rsidRPr="009E7C58" w:rsidRDefault="00606935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</w:p>
        </w:tc>
        <w:tc>
          <w:tcPr>
            <w:tcW w:w="1796" w:type="dxa"/>
          </w:tcPr>
          <w:p w:rsidR="00606935" w:rsidRPr="009E7C58" w:rsidRDefault="009E7C58">
            <w:pPr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2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、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 xml:space="preserve">PAI </w:t>
            </w:r>
          </w:p>
        </w:tc>
        <w:tc>
          <w:tcPr>
            <w:tcW w:w="5153" w:type="dxa"/>
          </w:tcPr>
          <w:p w:rsidR="00606935" w:rsidRPr="009E7C58" w:rsidRDefault="009E7C58" w:rsidP="00946B56">
            <w:pPr>
              <w:widowControl/>
              <w:snapToGrid w:val="0"/>
              <w:rPr>
                <w:rFonts w:ascii="仿宋_GB2312" w:eastAsia="仿宋_GB2312" w:hAnsi="Times New Roman" w:cs="楷体" w:hint="eastAsia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  <w:t>PAI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  <w:t>是一家欧洲私募股权公司，总部位于法国巴黎。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  <w:t>PAI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  <w:lang w:bidi="ar"/>
              </w:rPr>
              <w:t>管理和（或）提供咨询服务的基金涉及多个领域，包括企业服务、食品和消费品、工业、医疗保健、零售及分销等。</w:t>
            </w:r>
          </w:p>
        </w:tc>
      </w:tr>
      <w:tr w:rsidR="00606935" w:rsidRPr="009E7C58">
        <w:trPr>
          <w:trHeight w:val="1615"/>
        </w:trPr>
        <w:tc>
          <w:tcPr>
            <w:tcW w:w="1809" w:type="dxa"/>
            <w:vMerge/>
            <w:shd w:val="clear" w:color="auto" w:fill="D9D9D9"/>
          </w:tcPr>
          <w:p w:rsidR="00606935" w:rsidRPr="009E7C58" w:rsidRDefault="00606935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</w:p>
        </w:tc>
        <w:tc>
          <w:tcPr>
            <w:tcW w:w="1796" w:type="dxa"/>
          </w:tcPr>
          <w:p w:rsidR="00606935" w:rsidRPr="009E7C58" w:rsidRDefault="009E7C58">
            <w:pPr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3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、</w:t>
            </w:r>
            <w:r w:rsidRPr="009E7C58">
              <w:rPr>
                <w:rFonts w:ascii="仿宋_GB2312" w:eastAsia="仿宋_GB2312" w:hAnsi="Times New Roman" w:cs="楷体" w:hint="eastAsia"/>
                <w:bCs/>
                <w:color w:val="000000" w:themeColor="text1"/>
                <w:kern w:val="0"/>
                <w:sz w:val="30"/>
                <w:szCs w:val="30"/>
                <w:lang w:val="en-GB"/>
              </w:rPr>
              <w:t>WFC</w:t>
            </w:r>
          </w:p>
          <w:p w:rsidR="00606935" w:rsidRPr="009E7C58" w:rsidRDefault="00606935">
            <w:pPr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</w:pPr>
          </w:p>
        </w:tc>
        <w:tc>
          <w:tcPr>
            <w:tcW w:w="5153" w:type="dxa"/>
          </w:tcPr>
          <w:p w:rsidR="00606935" w:rsidRPr="009E7C58" w:rsidRDefault="009E7C58">
            <w:pPr>
              <w:snapToGrid w:val="0"/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WFC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作为航空货物运输的一般销售及服务代理商，向航空公司提供外包航空货运管理服务。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W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FC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及其关联公司在北美洲、南美洲、欧洲、中东、非洲及亚太地区内的多个国家运营。</w:t>
            </w:r>
          </w:p>
        </w:tc>
      </w:tr>
      <w:tr w:rsidR="00606935" w:rsidRPr="009E7C58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606935" w:rsidRPr="009E7C58" w:rsidRDefault="009E7C58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606935" w:rsidRPr="009E7C58" w:rsidRDefault="009E7C58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□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1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、在同一相关市场，所有参与集中的经营者所占市场份额之和小于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15%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。</w:t>
            </w:r>
          </w:p>
        </w:tc>
      </w:tr>
      <w:tr w:rsidR="00606935" w:rsidRPr="009E7C58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606935" w:rsidRPr="009E7C58" w:rsidRDefault="00606935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</w:p>
        </w:tc>
        <w:tc>
          <w:tcPr>
            <w:tcW w:w="6949" w:type="dxa"/>
            <w:gridSpan w:val="2"/>
          </w:tcPr>
          <w:p w:rsidR="00606935" w:rsidRPr="009E7C58" w:rsidRDefault="009E7C58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□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2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、存在上下游关系的参与集中的经营者，在上下游市场所占的市场份额均小于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25%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。</w:t>
            </w:r>
          </w:p>
        </w:tc>
      </w:tr>
      <w:tr w:rsidR="00606935" w:rsidRPr="009E7C58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606935" w:rsidRPr="009E7C58" w:rsidRDefault="00606935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</w:p>
        </w:tc>
        <w:tc>
          <w:tcPr>
            <w:tcW w:w="6949" w:type="dxa"/>
            <w:gridSpan w:val="2"/>
          </w:tcPr>
          <w:p w:rsidR="00606935" w:rsidRPr="009E7C58" w:rsidRDefault="009E7C58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sym w:font="Wingdings" w:char="F0FE"/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3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、不在同一相关市场、也不存在上下游关系的参与集中的经营者，在与交易有关的每个市场所占的份额均小于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25%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。</w:t>
            </w:r>
          </w:p>
        </w:tc>
      </w:tr>
      <w:tr w:rsidR="00606935" w:rsidRPr="009E7C58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606935" w:rsidRPr="009E7C58" w:rsidRDefault="00606935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</w:p>
        </w:tc>
        <w:tc>
          <w:tcPr>
            <w:tcW w:w="6949" w:type="dxa"/>
            <w:gridSpan w:val="2"/>
          </w:tcPr>
          <w:p w:rsidR="00606935" w:rsidRPr="009E7C58" w:rsidRDefault="009E7C58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□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4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、参与集中的经营者在中国境外设立合营企业，合营企业不在中国境内从事经济活动。</w:t>
            </w:r>
          </w:p>
        </w:tc>
      </w:tr>
      <w:tr w:rsidR="00606935" w:rsidRPr="009E7C58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606935" w:rsidRPr="009E7C58" w:rsidRDefault="00606935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</w:p>
        </w:tc>
        <w:tc>
          <w:tcPr>
            <w:tcW w:w="6949" w:type="dxa"/>
            <w:gridSpan w:val="2"/>
          </w:tcPr>
          <w:p w:rsidR="00606935" w:rsidRPr="009E7C58" w:rsidRDefault="009E7C58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□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5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、参与集中的经营者收购境外企业股权或资产的，该境外企业不在中国境内从事经济活动。</w:t>
            </w:r>
          </w:p>
        </w:tc>
      </w:tr>
      <w:tr w:rsidR="00606935" w:rsidRPr="009E7C58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606935" w:rsidRPr="009E7C58" w:rsidRDefault="00606935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</w:p>
        </w:tc>
        <w:tc>
          <w:tcPr>
            <w:tcW w:w="6949" w:type="dxa"/>
            <w:gridSpan w:val="2"/>
          </w:tcPr>
          <w:p w:rsidR="00606935" w:rsidRPr="009E7C58" w:rsidRDefault="009E7C58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□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6</w:t>
            </w: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、由两个以上的经营者共同控制的合营企业，通过集中被其中一个或一个以上经营者控制。</w:t>
            </w:r>
          </w:p>
        </w:tc>
      </w:tr>
      <w:tr w:rsidR="00606935" w:rsidRPr="009E7C58">
        <w:tc>
          <w:tcPr>
            <w:tcW w:w="1809" w:type="dxa"/>
            <w:shd w:val="clear" w:color="auto" w:fill="D9D9D9"/>
          </w:tcPr>
          <w:p w:rsidR="00606935" w:rsidRPr="009E7C58" w:rsidRDefault="009E7C58">
            <w:pPr>
              <w:spacing w:line="500" w:lineRule="exact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  <w:t>备注</w:t>
            </w:r>
          </w:p>
        </w:tc>
        <w:tc>
          <w:tcPr>
            <w:tcW w:w="6949" w:type="dxa"/>
            <w:gridSpan w:val="2"/>
          </w:tcPr>
          <w:p w:rsidR="00606935" w:rsidRPr="009E7C58" w:rsidRDefault="009E7C58">
            <w:pPr>
              <w:snapToGrid w:val="0"/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相关产品市场：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国际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航空货运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销售</w:t>
            </w: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代理服务市场</w:t>
            </w:r>
          </w:p>
          <w:p w:rsidR="00606935" w:rsidRPr="009E7C58" w:rsidRDefault="009E7C58">
            <w:pPr>
              <w:snapToGrid w:val="0"/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相关地域市场：中国</w:t>
            </w:r>
          </w:p>
          <w:p w:rsidR="00606935" w:rsidRPr="009E7C58" w:rsidRDefault="009E7C58">
            <w:pPr>
              <w:snapToGrid w:val="0"/>
              <w:rPr>
                <w:rFonts w:ascii="仿宋_GB2312" w:eastAsia="仿宋_GB2312" w:hAnsi="Times New Roman" w:hint="eastAsia"/>
                <w:bCs/>
                <w:iCs/>
                <w:color w:val="000000" w:themeColor="text1"/>
                <w:sz w:val="30"/>
                <w:szCs w:val="30"/>
              </w:rPr>
            </w:pPr>
            <w:r w:rsidRPr="009E7C58">
              <w:rPr>
                <w:rFonts w:ascii="仿宋_GB2312" w:eastAsia="仿宋_GB2312" w:hAnsi="Times New Roman" w:cs="楷体" w:hint="eastAsia"/>
                <w:color w:val="000000" w:themeColor="text1"/>
                <w:sz w:val="30"/>
                <w:szCs w:val="30"/>
              </w:rPr>
              <w:t>市场份额</w:t>
            </w:r>
            <w:r w:rsidRPr="009E7C58">
              <w:rPr>
                <w:rFonts w:ascii="仿宋_GB2312" w:eastAsia="仿宋_GB2312" w:hAnsi="Times New Roman" w:hint="eastAsia"/>
                <w:bCs/>
                <w:iCs/>
                <w:color w:val="000000" w:themeColor="text1"/>
                <w:sz w:val="30"/>
                <w:szCs w:val="30"/>
              </w:rPr>
              <w:t>：</w:t>
            </w:r>
            <w:r w:rsidRPr="009E7C58">
              <w:rPr>
                <w:rFonts w:ascii="仿宋_GB2312" w:eastAsia="仿宋_GB2312" w:hAnsi="Times New Roman" w:hint="eastAsia"/>
                <w:bCs/>
                <w:iCs/>
                <w:color w:val="000000" w:themeColor="text1"/>
                <w:sz w:val="30"/>
                <w:szCs w:val="30"/>
              </w:rPr>
              <w:t>WFC</w:t>
            </w:r>
            <w:r w:rsidRPr="009E7C58">
              <w:rPr>
                <w:rFonts w:ascii="仿宋_GB2312" w:eastAsia="仿宋_GB2312" w:hAnsi="Times New Roman" w:hint="eastAsia"/>
                <w:bCs/>
                <w:iCs/>
                <w:color w:val="000000" w:themeColor="text1"/>
                <w:sz w:val="30"/>
                <w:szCs w:val="30"/>
              </w:rPr>
              <w:t>【</w:t>
            </w:r>
            <w:r w:rsidRPr="009E7C58">
              <w:rPr>
                <w:rFonts w:ascii="仿宋_GB2312" w:eastAsia="仿宋_GB2312" w:hAnsi="Times New Roman" w:hint="eastAsia"/>
                <w:bCs/>
                <w:iCs/>
                <w:color w:val="000000" w:themeColor="text1"/>
                <w:sz w:val="30"/>
                <w:szCs w:val="30"/>
              </w:rPr>
              <w:t>5</w:t>
            </w:r>
            <w:r w:rsidRPr="009E7C58">
              <w:rPr>
                <w:rFonts w:ascii="仿宋_GB2312" w:eastAsia="仿宋_GB2312" w:hAnsi="Times New Roman" w:hint="eastAsia"/>
                <w:bCs/>
                <w:iCs/>
                <w:color w:val="000000" w:themeColor="text1"/>
                <w:sz w:val="30"/>
                <w:szCs w:val="30"/>
              </w:rPr>
              <w:t>%-</w:t>
            </w:r>
            <w:r w:rsidRPr="009E7C58">
              <w:rPr>
                <w:rFonts w:ascii="仿宋_GB2312" w:eastAsia="仿宋_GB2312" w:hAnsi="Times New Roman" w:hint="eastAsia"/>
                <w:bCs/>
                <w:iCs/>
                <w:color w:val="000000" w:themeColor="text1"/>
                <w:sz w:val="30"/>
                <w:szCs w:val="30"/>
              </w:rPr>
              <w:t>10</w:t>
            </w:r>
            <w:r w:rsidRPr="009E7C58">
              <w:rPr>
                <w:rFonts w:ascii="仿宋_GB2312" w:eastAsia="仿宋_GB2312" w:hAnsi="Times New Roman" w:hint="eastAsia"/>
                <w:bCs/>
                <w:iCs/>
                <w:color w:val="000000" w:themeColor="text1"/>
                <w:sz w:val="30"/>
                <w:szCs w:val="30"/>
              </w:rPr>
              <w:t>%</w:t>
            </w:r>
            <w:r w:rsidRPr="009E7C58">
              <w:rPr>
                <w:rFonts w:ascii="仿宋_GB2312" w:eastAsia="仿宋_GB2312" w:hAnsi="Times New Roman" w:hint="eastAsia"/>
                <w:bCs/>
                <w:iCs/>
                <w:color w:val="000000" w:themeColor="text1"/>
                <w:sz w:val="30"/>
                <w:szCs w:val="30"/>
              </w:rPr>
              <w:t>】</w:t>
            </w:r>
            <w:r w:rsidRPr="009E7C58">
              <w:rPr>
                <w:rFonts w:ascii="仿宋_GB2312" w:eastAsia="仿宋_GB2312" w:hAnsi="Times New Roman" w:hint="eastAsia"/>
                <w:bCs/>
                <w:iCs/>
                <w:color w:val="000000" w:themeColor="text1"/>
                <w:sz w:val="30"/>
                <w:szCs w:val="30"/>
              </w:rPr>
              <w:t>（</w:t>
            </w:r>
            <w:r w:rsidRPr="009E7C58">
              <w:rPr>
                <w:rFonts w:ascii="仿宋_GB2312" w:eastAsia="仿宋_GB2312" w:hAnsi="Times New Roman" w:hint="eastAsia"/>
                <w:bCs/>
                <w:iCs/>
                <w:color w:val="000000" w:themeColor="text1"/>
                <w:sz w:val="30"/>
                <w:szCs w:val="30"/>
              </w:rPr>
              <w:t>2</w:t>
            </w:r>
            <w:r w:rsidRPr="009E7C58">
              <w:rPr>
                <w:rFonts w:ascii="仿宋_GB2312" w:eastAsia="仿宋_GB2312" w:hAnsi="Times New Roman" w:hint="eastAsia"/>
                <w:bCs/>
                <w:iCs/>
                <w:color w:val="000000" w:themeColor="text1"/>
                <w:sz w:val="30"/>
                <w:szCs w:val="30"/>
              </w:rPr>
              <w:t>017</w:t>
            </w:r>
            <w:r w:rsidRPr="009E7C58">
              <w:rPr>
                <w:rFonts w:ascii="仿宋_GB2312" w:eastAsia="仿宋_GB2312" w:hAnsi="Times New Roman" w:hint="eastAsia"/>
                <w:bCs/>
                <w:iCs/>
                <w:color w:val="000000" w:themeColor="text1"/>
                <w:sz w:val="30"/>
                <w:szCs w:val="30"/>
              </w:rPr>
              <w:t>年）</w:t>
            </w:r>
          </w:p>
          <w:p w:rsidR="00606935" w:rsidRPr="009E7C58" w:rsidRDefault="00606935">
            <w:pPr>
              <w:snapToGrid w:val="0"/>
              <w:rPr>
                <w:rFonts w:ascii="仿宋_GB2312" w:eastAsia="仿宋_GB2312" w:hAnsi="Times New Roman" w:hint="eastAsia"/>
                <w:color w:val="000000" w:themeColor="text1"/>
                <w:sz w:val="30"/>
                <w:szCs w:val="30"/>
              </w:rPr>
            </w:pPr>
          </w:p>
        </w:tc>
      </w:tr>
      <w:bookmarkEnd w:id="0"/>
    </w:tbl>
    <w:p w:rsidR="00606935" w:rsidRDefault="00606935"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</w:p>
    <w:p w:rsidR="00606935" w:rsidRPr="00946B56" w:rsidRDefault="009E7C58">
      <w:pPr>
        <w:snapToGrid w:val="0"/>
        <w:spacing w:line="240" w:lineRule="exact"/>
        <w:jc w:val="left"/>
        <w:rPr>
          <w:rFonts w:ascii="仿宋_GB2312" w:eastAsia="仿宋_GB2312" w:hAnsi="宋体" w:hint="eastAsia"/>
          <w:sz w:val="28"/>
          <w:szCs w:val="28"/>
        </w:rPr>
      </w:pPr>
      <w:r w:rsidRPr="00946B56">
        <w:rPr>
          <w:rFonts w:ascii="仿宋_GB2312" w:eastAsia="仿宋_GB2312" w:hAnsi="宋体" w:hint="eastAsia"/>
          <w:sz w:val="28"/>
          <w:szCs w:val="28"/>
        </w:rPr>
        <w:t>注解：</w:t>
      </w:r>
    </w:p>
    <w:p w:rsidR="00606935" w:rsidRPr="00946B56" w:rsidRDefault="009E7C58" w:rsidP="00946B56">
      <w:pPr>
        <w:snapToGrid w:val="0"/>
        <w:spacing w:line="360" w:lineRule="auto"/>
        <w:ind w:firstLineChars="200" w:firstLine="560"/>
        <w:jc w:val="left"/>
        <w:rPr>
          <w:rFonts w:ascii="仿宋_GB2312" w:eastAsia="仿宋_GB2312" w:hAnsi="宋体" w:hint="eastAsia"/>
          <w:sz w:val="28"/>
          <w:szCs w:val="28"/>
        </w:rPr>
      </w:pPr>
      <w:r w:rsidRPr="00946B56">
        <w:rPr>
          <w:rFonts w:ascii="仿宋_GB2312" w:eastAsia="仿宋_GB2312" w:hAnsi="宋体" w:hint="eastAsia"/>
          <w:sz w:val="28"/>
          <w:szCs w:val="28"/>
        </w:rPr>
        <w:t>1</w:t>
      </w:r>
      <w:r w:rsidRPr="00946B56">
        <w:rPr>
          <w:rFonts w:ascii="仿宋_GB2312" w:eastAsia="仿宋_GB2312" w:hAnsi="宋体" w:hint="eastAsia"/>
          <w:sz w:val="28"/>
          <w:szCs w:val="28"/>
        </w:rPr>
        <w:t>、申报方申请简易案件的理由是基于</w:t>
      </w:r>
      <w:r w:rsidRPr="00946B56">
        <w:rPr>
          <w:rFonts w:ascii="仿宋_GB2312" w:eastAsia="仿宋_GB2312" w:hAnsi="宋体" w:hint="eastAsia"/>
          <w:sz w:val="28"/>
          <w:szCs w:val="28"/>
        </w:rPr>
        <w:t>1-3</w:t>
      </w:r>
      <w:r w:rsidRPr="00946B56">
        <w:rPr>
          <w:rFonts w:ascii="仿宋_GB2312" w:eastAsia="仿宋_GB2312" w:hAnsi="宋体" w:hint="eastAsia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946B56">
        <w:rPr>
          <w:rFonts w:ascii="仿宋_GB2312" w:eastAsia="仿宋_GB2312" w:hAnsi="宋体" w:hint="eastAsia"/>
          <w:sz w:val="28"/>
          <w:szCs w:val="28"/>
        </w:rPr>
        <w:t>5%</w:t>
      </w:r>
      <w:r w:rsidRPr="00946B56">
        <w:rPr>
          <w:rFonts w:ascii="仿宋_GB2312" w:eastAsia="仿宋_GB2312" w:hAnsi="宋体" w:hint="eastAsia"/>
          <w:sz w:val="28"/>
          <w:szCs w:val="28"/>
        </w:rPr>
        <w:t>。</w:t>
      </w:r>
      <w:r w:rsidRPr="00946B56">
        <w:rPr>
          <w:rFonts w:ascii="仿宋_GB2312" w:eastAsia="仿宋_GB2312" w:hAnsi="宋体" w:hint="eastAsia"/>
          <w:sz w:val="28"/>
          <w:szCs w:val="28"/>
        </w:rPr>
        <w:t>1-3</w:t>
      </w:r>
      <w:r w:rsidRPr="00946B56">
        <w:rPr>
          <w:rFonts w:ascii="仿宋_GB2312" w:eastAsia="仿宋_GB2312" w:hAnsi="宋体" w:hint="eastAsia"/>
          <w:sz w:val="28"/>
          <w:szCs w:val="28"/>
        </w:rPr>
        <w:t>项可以多选，也可单选；</w:t>
      </w:r>
      <w:proofErr w:type="gramStart"/>
      <w:r w:rsidRPr="00946B56">
        <w:rPr>
          <w:rFonts w:ascii="仿宋_GB2312" w:eastAsia="仿宋_GB2312" w:hAnsi="宋体" w:hint="eastAsia"/>
          <w:sz w:val="28"/>
          <w:szCs w:val="28"/>
        </w:rPr>
        <w:t>没有勾选的</w:t>
      </w:r>
      <w:proofErr w:type="gramEnd"/>
      <w:r w:rsidRPr="00946B56">
        <w:rPr>
          <w:rFonts w:ascii="仿宋_GB2312" w:eastAsia="仿宋_GB2312" w:hAnsi="宋体" w:hint="eastAsia"/>
          <w:sz w:val="28"/>
          <w:szCs w:val="28"/>
        </w:rPr>
        <w:t>，视为本集中不涉及该类型交易。</w:t>
      </w:r>
    </w:p>
    <w:p w:rsidR="00606935" w:rsidRPr="00946B56" w:rsidRDefault="009E7C58" w:rsidP="00946B56">
      <w:pPr>
        <w:spacing w:line="360" w:lineRule="auto"/>
        <w:ind w:firstLineChars="200" w:firstLine="560"/>
        <w:rPr>
          <w:rFonts w:ascii="仿宋_GB2312" w:eastAsia="仿宋_GB2312" w:hAnsi="宋体" w:hint="eastAsia"/>
          <w:sz w:val="28"/>
          <w:szCs w:val="28"/>
        </w:rPr>
      </w:pPr>
      <w:r w:rsidRPr="00946B56">
        <w:rPr>
          <w:rFonts w:ascii="仿宋_GB2312" w:eastAsia="仿宋_GB2312" w:hAnsi="宋体" w:hint="eastAsia"/>
          <w:sz w:val="28"/>
          <w:szCs w:val="28"/>
        </w:rPr>
        <w:t>2</w:t>
      </w:r>
      <w:r w:rsidRPr="00946B56">
        <w:rPr>
          <w:rFonts w:ascii="仿宋_GB2312" w:eastAsia="仿宋_GB2312" w:hAnsi="宋体" w:hint="eastAsia"/>
          <w:sz w:val="28"/>
          <w:szCs w:val="28"/>
        </w:rPr>
        <w:t>、申报方申请简易案件的理由是基于第</w:t>
      </w:r>
      <w:r w:rsidRPr="00946B56">
        <w:rPr>
          <w:rFonts w:ascii="仿宋_GB2312" w:eastAsia="仿宋_GB2312" w:hAnsi="宋体" w:hint="eastAsia"/>
          <w:sz w:val="28"/>
          <w:szCs w:val="28"/>
        </w:rPr>
        <w:t>4</w:t>
      </w:r>
      <w:r w:rsidRPr="00946B56">
        <w:rPr>
          <w:rFonts w:ascii="仿宋_GB2312" w:eastAsia="仿宋_GB2312" w:hAnsi="宋体" w:hint="eastAsia"/>
          <w:sz w:val="28"/>
          <w:szCs w:val="28"/>
        </w:rPr>
        <w:t>项、第</w:t>
      </w:r>
      <w:r w:rsidRPr="00946B56">
        <w:rPr>
          <w:rFonts w:ascii="仿宋_GB2312" w:eastAsia="仿宋_GB2312" w:hAnsi="宋体" w:hint="eastAsia"/>
          <w:sz w:val="28"/>
          <w:szCs w:val="28"/>
        </w:rPr>
        <w:t>5</w:t>
      </w:r>
      <w:r w:rsidRPr="00946B56">
        <w:rPr>
          <w:rFonts w:ascii="仿宋_GB2312" w:eastAsia="仿宋_GB2312" w:hAnsi="宋体" w:hint="eastAsia"/>
          <w:sz w:val="28"/>
          <w:szCs w:val="28"/>
        </w:rPr>
        <w:t>项时，无须在备注中说明相关市场和市场份额。</w:t>
      </w:r>
      <w:r w:rsidRPr="00946B56">
        <w:rPr>
          <w:rFonts w:ascii="仿宋_GB2312" w:eastAsia="仿宋_GB2312" w:hAnsi="宋体" w:hint="eastAsia"/>
          <w:sz w:val="28"/>
          <w:szCs w:val="28"/>
        </w:rPr>
        <w:br/>
      </w:r>
      <w:r w:rsidRPr="00946B56">
        <w:rPr>
          <w:rFonts w:ascii="仿宋_GB2312" w:eastAsia="仿宋_GB2312" w:hAnsi="宋体" w:hint="eastAsia"/>
          <w:sz w:val="28"/>
          <w:szCs w:val="28"/>
        </w:rPr>
        <w:t xml:space="preserve">    3</w:t>
      </w:r>
      <w:r w:rsidRPr="00946B56">
        <w:rPr>
          <w:rFonts w:ascii="仿宋_GB2312" w:eastAsia="仿宋_GB2312" w:hAnsi="宋体" w:hint="eastAsia"/>
          <w:sz w:val="28"/>
          <w:szCs w:val="28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946B56">
        <w:rPr>
          <w:rFonts w:ascii="仿宋_GB2312" w:eastAsia="仿宋_GB2312" w:hAnsi="宋体" w:hint="eastAsia"/>
          <w:sz w:val="28"/>
          <w:szCs w:val="28"/>
        </w:rPr>
        <w:t>同时勾选第</w:t>
      </w:r>
      <w:r w:rsidRPr="00946B56">
        <w:rPr>
          <w:rFonts w:ascii="仿宋_GB2312" w:eastAsia="仿宋_GB2312" w:hAnsi="宋体" w:hint="eastAsia"/>
          <w:sz w:val="28"/>
          <w:szCs w:val="28"/>
        </w:rPr>
        <w:t>1</w:t>
      </w:r>
      <w:r w:rsidRPr="00946B56">
        <w:rPr>
          <w:rFonts w:ascii="仿宋_GB2312" w:eastAsia="仿宋_GB2312" w:hAnsi="宋体" w:hint="eastAsia"/>
          <w:sz w:val="28"/>
          <w:szCs w:val="28"/>
        </w:rPr>
        <w:t>项</w:t>
      </w:r>
      <w:proofErr w:type="gramEnd"/>
      <w:r w:rsidRPr="00946B56">
        <w:rPr>
          <w:rFonts w:ascii="仿宋_GB2312" w:eastAsia="仿宋_GB2312" w:hAnsi="宋体" w:hint="eastAsia"/>
          <w:sz w:val="28"/>
          <w:szCs w:val="28"/>
        </w:rPr>
        <w:t>和第</w:t>
      </w:r>
      <w:r w:rsidRPr="00946B56">
        <w:rPr>
          <w:rFonts w:ascii="仿宋_GB2312" w:eastAsia="仿宋_GB2312" w:hAnsi="宋体" w:hint="eastAsia"/>
          <w:sz w:val="28"/>
          <w:szCs w:val="28"/>
        </w:rPr>
        <w:t>6</w:t>
      </w:r>
      <w:r w:rsidRPr="00946B56">
        <w:rPr>
          <w:rFonts w:ascii="仿宋_GB2312" w:eastAsia="仿宋_GB2312" w:hAnsi="宋体" w:hint="eastAsia"/>
          <w:sz w:val="28"/>
          <w:szCs w:val="28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946B56">
        <w:rPr>
          <w:rFonts w:ascii="仿宋_GB2312" w:eastAsia="仿宋_GB2312" w:hAnsi="宋体" w:hint="eastAsia"/>
          <w:sz w:val="28"/>
          <w:szCs w:val="28"/>
        </w:rPr>
        <w:t>5%</w:t>
      </w:r>
      <w:r w:rsidRPr="00946B56">
        <w:rPr>
          <w:rFonts w:ascii="仿宋_GB2312" w:eastAsia="仿宋_GB2312" w:hAnsi="宋体" w:hint="eastAsia"/>
          <w:sz w:val="28"/>
          <w:szCs w:val="28"/>
        </w:rPr>
        <w:t>。</w:t>
      </w:r>
    </w:p>
    <w:p w:rsidR="00606935" w:rsidRPr="00946B56" w:rsidRDefault="00606935">
      <w:pPr>
        <w:rPr>
          <w:rFonts w:ascii="仿宋_GB2312" w:eastAsia="仿宋_GB2312" w:hAnsi="宋体" w:hint="eastAsia"/>
          <w:sz w:val="28"/>
          <w:szCs w:val="28"/>
        </w:rPr>
      </w:pPr>
    </w:p>
    <w:sectPr w:rsidR="00606935" w:rsidRPr="00946B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Formatting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020C3"/>
    <w:rsid w:val="000134E8"/>
    <w:rsid w:val="00083418"/>
    <w:rsid w:val="00094095"/>
    <w:rsid w:val="000A14BB"/>
    <w:rsid w:val="000D5955"/>
    <w:rsid w:val="000F04BF"/>
    <w:rsid w:val="00164331"/>
    <w:rsid w:val="001E0AA5"/>
    <w:rsid w:val="002023BE"/>
    <w:rsid w:val="00202BEC"/>
    <w:rsid w:val="00210DCE"/>
    <w:rsid w:val="002366BB"/>
    <w:rsid w:val="002454B9"/>
    <w:rsid w:val="00245776"/>
    <w:rsid w:val="00257E63"/>
    <w:rsid w:val="00270CCF"/>
    <w:rsid w:val="00277C80"/>
    <w:rsid w:val="0029549A"/>
    <w:rsid w:val="002A3524"/>
    <w:rsid w:val="002C5185"/>
    <w:rsid w:val="002D5426"/>
    <w:rsid w:val="002F2D60"/>
    <w:rsid w:val="002F7881"/>
    <w:rsid w:val="00307976"/>
    <w:rsid w:val="0033679C"/>
    <w:rsid w:val="00352484"/>
    <w:rsid w:val="003623D7"/>
    <w:rsid w:val="0036298A"/>
    <w:rsid w:val="00363646"/>
    <w:rsid w:val="003A09C9"/>
    <w:rsid w:val="003F431C"/>
    <w:rsid w:val="004373A2"/>
    <w:rsid w:val="00462174"/>
    <w:rsid w:val="004671F7"/>
    <w:rsid w:val="00486565"/>
    <w:rsid w:val="004C1240"/>
    <w:rsid w:val="004D4A3D"/>
    <w:rsid w:val="00504C35"/>
    <w:rsid w:val="005050E9"/>
    <w:rsid w:val="00566644"/>
    <w:rsid w:val="00596BF5"/>
    <w:rsid w:val="005F167B"/>
    <w:rsid w:val="00602662"/>
    <w:rsid w:val="00606935"/>
    <w:rsid w:val="006412A3"/>
    <w:rsid w:val="0069442D"/>
    <w:rsid w:val="006C3F7A"/>
    <w:rsid w:val="00727977"/>
    <w:rsid w:val="00757B15"/>
    <w:rsid w:val="007B7F94"/>
    <w:rsid w:val="007D16CA"/>
    <w:rsid w:val="007E6165"/>
    <w:rsid w:val="008208A0"/>
    <w:rsid w:val="00821298"/>
    <w:rsid w:val="00857500"/>
    <w:rsid w:val="00890605"/>
    <w:rsid w:val="008E3473"/>
    <w:rsid w:val="00911375"/>
    <w:rsid w:val="009115AA"/>
    <w:rsid w:val="00911606"/>
    <w:rsid w:val="00946B56"/>
    <w:rsid w:val="00956308"/>
    <w:rsid w:val="00976846"/>
    <w:rsid w:val="00992D10"/>
    <w:rsid w:val="009A0DA1"/>
    <w:rsid w:val="009E7C58"/>
    <w:rsid w:val="00A03B6C"/>
    <w:rsid w:val="00A23C5C"/>
    <w:rsid w:val="00A46243"/>
    <w:rsid w:val="00A71F19"/>
    <w:rsid w:val="00A80785"/>
    <w:rsid w:val="00A81165"/>
    <w:rsid w:val="00A81366"/>
    <w:rsid w:val="00A877D1"/>
    <w:rsid w:val="00AB1AE7"/>
    <w:rsid w:val="00AB4321"/>
    <w:rsid w:val="00AB6C08"/>
    <w:rsid w:val="00AC7639"/>
    <w:rsid w:val="00AD6C59"/>
    <w:rsid w:val="00B900D5"/>
    <w:rsid w:val="00B9091E"/>
    <w:rsid w:val="00B955F5"/>
    <w:rsid w:val="00BA0750"/>
    <w:rsid w:val="00BB2377"/>
    <w:rsid w:val="00BB494A"/>
    <w:rsid w:val="00C04FCA"/>
    <w:rsid w:val="00C66FFC"/>
    <w:rsid w:val="00C70A8F"/>
    <w:rsid w:val="00C9068E"/>
    <w:rsid w:val="00CA0123"/>
    <w:rsid w:val="00CA119A"/>
    <w:rsid w:val="00D21777"/>
    <w:rsid w:val="00D71002"/>
    <w:rsid w:val="00D721DF"/>
    <w:rsid w:val="00DA4434"/>
    <w:rsid w:val="00E13A56"/>
    <w:rsid w:val="00E409F4"/>
    <w:rsid w:val="00E677B7"/>
    <w:rsid w:val="00E83371"/>
    <w:rsid w:val="00ED21B1"/>
    <w:rsid w:val="00ED2EDC"/>
    <w:rsid w:val="00F12226"/>
    <w:rsid w:val="00F676FD"/>
    <w:rsid w:val="00F71C4A"/>
    <w:rsid w:val="00F87C1F"/>
    <w:rsid w:val="00FA6C01"/>
    <w:rsid w:val="00FC0FB5"/>
    <w:rsid w:val="00FC68CA"/>
    <w:rsid w:val="09E06F63"/>
    <w:rsid w:val="0FAA260A"/>
    <w:rsid w:val="12FE7AE9"/>
    <w:rsid w:val="15622127"/>
    <w:rsid w:val="22B31228"/>
    <w:rsid w:val="284569B8"/>
    <w:rsid w:val="2CFA36CC"/>
    <w:rsid w:val="2EC6246F"/>
    <w:rsid w:val="6AD41083"/>
    <w:rsid w:val="71F22A15"/>
    <w:rsid w:val="74984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 w:unhideWhenUsed="0" w:qFormat="1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footnote reference" w:semiHidden="0" w:uiPriority="28" w:unhideWhenUsed="0" w:qFormat="1"/>
    <w:lsdException w:name="annotation reference" w:qFormat="1"/>
    <w:lsdException w:name="endnote reference" w:qFormat="1"/>
    <w:lsdException w:name="endnote text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semiHidden/>
    <w:unhideWhenUsed/>
    <w:qFormat/>
    <w:pPr>
      <w:jc w:val="left"/>
    </w:pPr>
  </w:style>
  <w:style w:type="paragraph" w:styleId="a5">
    <w:name w:val="endnote text"/>
    <w:basedOn w:val="a"/>
    <w:link w:val="Char1"/>
    <w:uiPriority w:val="99"/>
    <w:semiHidden/>
    <w:unhideWhenUsed/>
    <w:qFormat/>
    <w:pPr>
      <w:snapToGrid w:val="0"/>
      <w:jc w:val="left"/>
    </w:pPr>
  </w:style>
  <w:style w:type="paragraph" w:styleId="a6">
    <w:name w:val="Balloon Text"/>
    <w:basedOn w:val="a"/>
    <w:link w:val="Char2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uiPriority w:val="99"/>
    <w:qFormat/>
    <w:pPr>
      <w:snapToGrid w:val="0"/>
      <w:jc w:val="left"/>
    </w:pPr>
    <w:rPr>
      <w:sz w:val="18"/>
      <w:szCs w:val="18"/>
    </w:rPr>
  </w:style>
  <w:style w:type="character" w:styleId="aa">
    <w:name w:val="endnote reference"/>
    <w:uiPriority w:val="99"/>
    <w:semiHidden/>
    <w:unhideWhenUsed/>
    <w:qFormat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c">
    <w:name w:val="footnote reference"/>
    <w:uiPriority w:val="28"/>
    <w:qFormat/>
    <w:rPr>
      <w:vertAlign w:val="superscript"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尾注文本 Char"/>
    <w:basedOn w:val="a0"/>
    <w:link w:val="a5"/>
    <w:uiPriority w:val="99"/>
    <w:semiHidden/>
    <w:qFormat/>
  </w:style>
  <w:style w:type="character" w:customStyle="1" w:styleId="Char4">
    <w:name w:val="页眉 Char"/>
    <w:link w:val="a8"/>
    <w:uiPriority w:val="99"/>
    <w:qFormat/>
    <w:rPr>
      <w:sz w:val="18"/>
      <w:szCs w:val="18"/>
    </w:rPr>
  </w:style>
  <w:style w:type="character" w:customStyle="1" w:styleId="Char3">
    <w:name w:val="页脚 Char"/>
    <w:link w:val="a7"/>
    <w:uiPriority w:val="99"/>
    <w:qFormat/>
    <w:rPr>
      <w:sz w:val="18"/>
      <w:szCs w:val="18"/>
    </w:rPr>
  </w:style>
  <w:style w:type="character" w:customStyle="1" w:styleId="Char0">
    <w:name w:val="批注文字 Char"/>
    <w:basedOn w:val="a0"/>
    <w:link w:val="a4"/>
    <w:uiPriority w:val="99"/>
    <w:semiHidden/>
    <w:qFormat/>
    <w:rPr>
      <w:kern w:val="2"/>
      <w:sz w:val="21"/>
      <w:szCs w:val="22"/>
      <w:lang w:val="en-US" w:bidi="ar-SA"/>
    </w:rPr>
  </w:style>
  <w:style w:type="character" w:customStyle="1" w:styleId="Char">
    <w:name w:val="批注主题 Char"/>
    <w:basedOn w:val="Char0"/>
    <w:link w:val="a3"/>
    <w:uiPriority w:val="99"/>
    <w:semiHidden/>
    <w:qFormat/>
    <w:rPr>
      <w:b/>
      <w:bCs/>
      <w:kern w:val="2"/>
      <w:sz w:val="21"/>
      <w:szCs w:val="22"/>
      <w:lang w:val="en-US" w:bidi="ar-SA"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kern w:val="2"/>
      <w:sz w:val="18"/>
      <w:szCs w:val="18"/>
      <w:lang w:val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 w:unhideWhenUsed="0" w:qFormat="1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footnote reference" w:semiHidden="0" w:uiPriority="28" w:unhideWhenUsed="0" w:qFormat="1"/>
    <w:lsdException w:name="annotation reference" w:qFormat="1"/>
    <w:lsdException w:name="endnote reference" w:qFormat="1"/>
    <w:lsdException w:name="endnote text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semiHidden/>
    <w:unhideWhenUsed/>
    <w:qFormat/>
    <w:pPr>
      <w:jc w:val="left"/>
    </w:pPr>
  </w:style>
  <w:style w:type="paragraph" w:styleId="a5">
    <w:name w:val="endnote text"/>
    <w:basedOn w:val="a"/>
    <w:link w:val="Char1"/>
    <w:uiPriority w:val="99"/>
    <w:semiHidden/>
    <w:unhideWhenUsed/>
    <w:qFormat/>
    <w:pPr>
      <w:snapToGrid w:val="0"/>
      <w:jc w:val="left"/>
    </w:pPr>
  </w:style>
  <w:style w:type="paragraph" w:styleId="a6">
    <w:name w:val="Balloon Text"/>
    <w:basedOn w:val="a"/>
    <w:link w:val="Char2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uiPriority w:val="99"/>
    <w:qFormat/>
    <w:pPr>
      <w:snapToGrid w:val="0"/>
      <w:jc w:val="left"/>
    </w:pPr>
    <w:rPr>
      <w:sz w:val="18"/>
      <w:szCs w:val="18"/>
    </w:rPr>
  </w:style>
  <w:style w:type="character" w:styleId="aa">
    <w:name w:val="endnote reference"/>
    <w:uiPriority w:val="99"/>
    <w:semiHidden/>
    <w:unhideWhenUsed/>
    <w:qFormat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c">
    <w:name w:val="footnote reference"/>
    <w:uiPriority w:val="28"/>
    <w:qFormat/>
    <w:rPr>
      <w:vertAlign w:val="superscript"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尾注文本 Char"/>
    <w:basedOn w:val="a0"/>
    <w:link w:val="a5"/>
    <w:uiPriority w:val="99"/>
    <w:semiHidden/>
    <w:qFormat/>
  </w:style>
  <w:style w:type="character" w:customStyle="1" w:styleId="Char4">
    <w:name w:val="页眉 Char"/>
    <w:link w:val="a8"/>
    <w:uiPriority w:val="99"/>
    <w:qFormat/>
    <w:rPr>
      <w:sz w:val="18"/>
      <w:szCs w:val="18"/>
    </w:rPr>
  </w:style>
  <w:style w:type="character" w:customStyle="1" w:styleId="Char3">
    <w:name w:val="页脚 Char"/>
    <w:link w:val="a7"/>
    <w:uiPriority w:val="99"/>
    <w:qFormat/>
    <w:rPr>
      <w:sz w:val="18"/>
      <w:szCs w:val="18"/>
    </w:rPr>
  </w:style>
  <w:style w:type="character" w:customStyle="1" w:styleId="Char0">
    <w:name w:val="批注文字 Char"/>
    <w:basedOn w:val="a0"/>
    <w:link w:val="a4"/>
    <w:uiPriority w:val="99"/>
    <w:semiHidden/>
    <w:qFormat/>
    <w:rPr>
      <w:kern w:val="2"/>
      <w:sz w:val="21"/>
      <w:szCs w:val="22"/>
      <w:lang w:val="en-US" w:bidi="ar-SA"/>
    </w:rPr>
  </w:style>
  <w:style w:type="character" w:customStyle="1" w:styleId="Char">
    <w:name w:val="批注主题 Char"/>
    <w:basedOn w:val="Char0"/>
    <w:link w:val="a3"/>
    <w:uiPriority w:val="99"/>
    <w:semiHidden/>
    <w:qFormat/>
    <w:rPr>
      <w:b/>
      <w:bCs/>
      <w:kern w:val="2"/>
      <w:sz w:val="21"/>
      <w:szCs w:val="22"/>
      <w:lang w:val="en-US" w:bidi="ar-SA"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kern w:val="2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8C1A01-9600-4FEF-BEBB-E9E9151D2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167</Words>
  <Characters>953</Characters>
  <Application>Microsoft Office Word</Application>
  <DocSecurity>0</DocSecurity>
  <Lines>7</Lines>
  <Paragraphs>2</Paragraphs>
  <ScaleCrop>false</ScaleCrop>
  <Company>http://www.deepbbs.org</Company>
  <LinksUpToDate>false</LinksUpToDate>
  <CharactersWithSpaces>1118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zhyp</cp:lastModifiedBy>
  <cp:revision>7</cp:revision>
  <cp:lastPrinted>2014-10-08T02:48:00Z</cp:lastPrinted>
  <dcterms:created xsi:type="dcterms:W3CDTF">2018-05-30T14:39:00Z</dcterms:created>
  <dcterms:modified xsi:type="dcterms:W3CDTF">2018-07-03T03:07:00Z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A36122288</vt:lpwstr>
  </property>
  <property fmtid="{D5CDD505-2E9C-101B-9397-08002B2CF9AE}" pid="3" name="Version">
    <vt:lpwstr>0.7</vt:lpwstr>
  </property>
  <property fmtid="{D5CDD505-2E9C-101B-9397-08002B2CF9AE}" pid="4" name="Last Modified">
    <vt:lpwstr>19 Mar 2018</vt:lpwstr>
  </property>
  <property fmtid="{D5CDD505-2E9C-101B-9397-08002B2CF9AE}" pid="5" name="Matter Number">
    <vt:lpwstr>L-269343</vt:lpwstr>
  </property>
  <property fmtid="{D5CDD505-2E9C-101B-9397-08002B2CF9AE}" pid="6" name="Client Code">
    <vt:lpwstr>10253201</vt:lpwstr>
  </property>
  <property fmtid="{D5CDD505-2E9C-101B-9397-08002B2CF9AE}" pid="7" name="Mode">
    <vt:lpwstr>SendAs</vt:lpwstr>
  </property>
  <property fmtid="{D5CDD505-2E9C-101B-9397-08002B2CF9AE}" pid="8" name="DEDocumentLocation">
    <vt:lpwstr>C:\Users\aqlee\AppData\Local\Linklaters\DocExplorer\Attachments\180320_Ladder_Final Simple Case Publicity Form_CHN.docx</vt:lpwstr>
  </property>
  <property fmtid="{D5CDD505-2E9C-101B-9397-08002B2CF9AE}" pid="9" name="ObjectID">
    <vt:lpwstr>09001dc891a1b8db</vt:lpwstr>
  </property>
  <property fmtid="{D5CDD505-2E9C-101B-9397-08002B2CF9AE}" pid="10" name="KSOProductBuildVer">
    <vt:lpwstr>2052-10.1.0.7400</vt:lpwstr>
  </property>
</Properties>
</file>