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4095" w:rsidRPr="008E7B8C" w:rsidRDefault="00094095" w:rsidP="00094095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094095" w:rsidRDefault="00094095" w:rsidP="00094095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p w:rsidR="00094095" w:rsidRPr="00BA1596" w:rsidRDefault="00094095" w:rsidP="00094095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2F2D60" w:rsidTr="002F2D60">
        <w:tc>
          <w:tcPr>
            <w:tcW w:w="1809" w:type="dxa"/>
            <w:shd w:val="clear" w:color="auto" w:fill="D9D9D9"/>
          </w:tcPr>
          <w:p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2F2D60" w:rsidRDefault="007C4E28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7C4E28">
              <w:rPr>
                <w:rFonts w:ascii="仿宋_GB2312" w:eastAsia="仿宋_GB2312" w:hAnsi="Times New Roman" w:hint="eastAsia"/>
                <w:sz w:val="28"/>
                <w:szCs w:val="28"/>
              </w:rPr>
              <w:t>住友商事株式会社与Tierra S.p.A（以下简称“</w:t>
            </w:r>
            <w:r w:rsidRPr="001F2EA4">
              <w:rPr>
                <w:rFonts w:ascii="仿宋_GB2312" w:eastAsia="仿宋_GB2312" w:hAnsi="Times New Roman" w:hint="eastAsia"/>
                <w:b/>
                <w:sz w:val="28"/>
                <w:szCs w:val="28"/>
              </w:rPr>
              <w:t>Tierra</w:t>
            </w:r>
            <w:r w:rsidRPr="007C4E28">
              <w:rPr>
                <w:rFonts w:ascii="仿宋_GB2312" w:eastAsia="仿宋_GB2312" w:hAnsi="Times New Roman" w:hint="eastAsia"/>
                <w:sz w:val="28"/>
                <w:szCs w:val="28"/>
              </w:rPr>
              <w:t>”）新设合营企业案（以下简称“</w:t>
            </w:r>
            <w:r w:rsidRPr="001F2EA4">
              <w:rPr>
                <w:rFonts w:ascii="仿宋_GB2312" w:eastAsia="仿宋_GB2312" w:hAnsi="Times New Roman" w:hint="eastAsia"/>
                <w:b/>
                <w:sz w:val="28"/>
                <w:szCs w:val="28"/>
              </w:rPr>
              <w:t>本项交易</w:t>
            </w:r>
            <w:r w:rsidRPr="007C4E28">
              <w:rPr>
                <w:rFonts w:ascii="仿宋_GB2312" w:eastAsia="仿宋_GB2312" w:hAnsi="Times New Roman" w:hint="eastAsia"/>
                <w:sz w:val="28"/>
                <w:szCs w:val="28"/>
              </w:rPr>
              <w:t>”）</w:t>
            </w:r>
          </w:p>
        </w:tc>
      </w:tr>
      <w:tr w:rsidR="00094095" w:rsidRPr="002F2D60" w:rsidTr="002F2D60">
        <w:trPr>
          <w:trHeight w:val="993"/>
        </w:trPr>
        <w:tc>
          <w:tcPr>
            <w:tcW w:w="1809" w:type="dxa"/>
            <w:shd w:val="clear" w:color="auto" w:fill="D9D9D9"/>
          </w:tcPr>
          <w:p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 w:rsidR="007C4E28" w:rsidRPr="007C4E28" w:rsidRDefault="007C4E28" w:rsidP="007C4E28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7C4E28">
              <w:rPr>
                <w:rFonts w:ascii="仿宋_GB2312" w:eastAsia="仿宋_GB2312" w:hAnsi="Times New Roman" w:hint="eastAsia"/>
                <w:sz w:val="28"/>
                <w:szCs w:val="28"/>
              </w:rPr>
              <w:t>本项交易包括住友与Tierra在印尼新设一家（绿地）合资公司。合资公司将在东盟国家及印度运营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提供远距通信与处理技术服务及解决方案。合资公司不在中国运营。</w:t>
            </w:r>
          </w:p>
          <w:p w:rsidR="00094095" w:rsidRPr="002F2D60" w:rsidRDefault="007C4E28" w:rsidP="007C4E28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7C4E28">
              <w:rPr>
                <w:rFonts w:ascii="仿宋_GB2312" w:eastAsia="仿宋_GB2312" w:hAnsi="Times New Roman" w:hint="eastAsia"/>
                <w:sz w:val="28"/>
                <w:szCs w:val="28"/>
              </w:rPr>
              <w:t>本项交易完成后，住友及Tierra将各自持有合资公司50%的股份，并且共同控制合资公司。</w:t>
            </w:r>
          </w:p>
        </w:tc>
      </w:tr>
      <w:tr w:rsidR="00094095" w:rsidRPr="002F2D60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1、</w:t>
            </w:r>
            <w:r w:rsidR="007C4E28" w:rsidRPr="007C4E28">
              <w:rPr>
                <w:rFonts w:ascii="仿宋_GB2312" w:eastAsia="仿宋_GB2312" w:hAnsi="Times New Roman" w:hint="eastAsia"/>
                <w:sz w:val="28"/>
                <w:szCs w:val="28"/>
              </w:rPr>
              <w:t>住友商事株式会社</w:t>
            </w:r>
          </w:p>
        </w:tc>
        <w:tc>
          <w:tcPr>
            <w:tcW w:w="5153" w:type="dxa"/>
          </w:tcPr>
          <w:p w:rsidR="00094095" w:rsidRPr="002F2D60" w:rsidRDefault="007C4E28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7C4E28">
              <w:rPr>
                <w:rFonts w:ascii="仿宋_GB2312" w:eastAsia="仿宋_GB2312" w:hAnsi="Times New Roman" w:hint="eastAsia"/>
                <w:sz w:val="28"/>
                <w:szCs w:val="28"/>
              </w:rPr>
              <w:t>住友是全球领先的贸易商和分销商，在世界各地与不同文化间广泛的商品、服务和技术交易上扮演着关键的全球化的角色。多年来，其业务范围已从贸易扩展到投资、金融和创意培育领域。</w:t>
            </w:r>
          </w:p>
        </w:tc>
      </w:tr>
      <w:tr w:rsidR="00094095" w:rsidRPr="002F2D60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2、</w:t>
            </w:r>
            <w:r w:rsidR="007C4E28" w:rsidRPr="007C4E28">
              <w:rPr>
                <w:rFonts w:ascii="仿宋_GB2312" w:eastAsia="仿宋_GB2312" w:hAnsi="Times New Roman"/>
                <w:sz w:val="28"/>
                <w:szCs w:val="28"/>
              </w:rPr>
              <w:t>Tierra S.</w:t>
            </w:r>
            <w:proofErr w:type="gramStart"/>
            <w:r w:rsidR="007C4E28" w:rsidRPr="007C4E28">
              <w:rPr>
                <w:rFonts w:ascii="仿宋_GB2312" w:eastAsia="仿宋_GB2312" w:hAnsi="Times New Roman"/>
                <w:sz w:val="28"/>
                <w:szCs w:val="28"/>
              </w:rPr>
              <w:t>p.A</w:t>
            </w:r>
            <w:proofErr w:type="gramEnd"/>
          </w:p>
        </w:tc>
        <w:tc>
          <w:tcPr>
            <w:tcW w:w="5153" w:type="dxa"/>
          </w:tcPr>
          <w:p w:rsidR="00094095" w:rsidRPr="002F2D60" w:rsidRDefault="007C4E28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7C4E28">
              <w:rPr>
                <w:rFonts w:ascii="仿宋_GB2312" w:eastAsia="仿宋_GB2312" w:hAnsi="Times New Roman" w:hint="eastAsia"/>
                <w:sz w:val="28"/>
                <w:szCs w:val="28"/>
              </w:rPr>
              <w:t xml:space="preserve">Tierra S.p.A是一家于2008年在意大利设立的合营公司。Tierra由株式会社拓普康（Topcon Corporation）的全资子公司拓普康定位系统有限公司（Topcon Positioning Systems, Inc.）及Elda </w:t>
            </w:r>
            <w:proofErr w:type="spellStart"/>
            <w:r w:rsidRPr="007C4E28">
              <w:rPr>
                <w:rFonts w:ascii="仿宋_GB2312" w:eastAsia="仿宋_GB2312" w:hAnsi="Times New Roman" w:hint="eastAsia"/>
                <w:sz w:val="28"/>
                <w:szCs w:val="28"/>
              </w:rPr>
              <w:t>Ingegneria</w:t>
            </w:r>
            <w:proofErr w:type="spellEnd"/>
            <w:r w:rsidRPr="007C4E28">
              <w:rPr>
                <w:rFonts w:ascii="仿宋_GB2312" w:eastAsia="仿宋_GB2312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Pr="007C4E28">
              <w:rPr>
                <w:rFonts w:ascii="仿宋_GB2312" w:eastAsia="仿宋_GB2312" w:hAnsi="Times New Roman" w:hint="eastAsia"/>
                <w:sz w:val="28"/>
                <w:szCs w:val="28"/>
              </w:rPr>
              <w:t>S.r.l</w:t>
            </w:r>
            <w:proofErr w:type="spellEnd"/>
            <w:r w:rsidRPr="007C4E28">
              <w:rPr>
                <w:rFonts w:ascii="仿宋_GB2312" w:eastAsia="仿宋_GB2312" w:hAnsi="Times New Roman" w:hint="eastAsia"/>
                <w:sz w:val="28"/>
                <w:szCs w:val="28"/>
              </w:rPr>
              <w:t>子公司</w:t>
            </w:r>
            <w:proofErr w:type="spellStart"/>
            <w:r w:rsidRPr="007C4E28">
              <w:rPr>
                <w:rFonts w:ascii="仿宋_GB2312" w:eastAsia="仿宋_GB2312" w:hAnsi="Times New Roman" w:hint="eastAsia"/>
                <w:sz w:val="28"/>
                <w:szCs w:val="28"/>
              </w:rPr>
              <w:t>Divitech</w:t>
            </w:r>
            <w:proofErr w:type="spellEnd"/>
            <w:r w:rsidRPr="007C4E28">
              <w:rPr>
                <w:rFonts w:ascii="仿宋_GB2312" w:eastAsia="仿宋_GB2312" w:hAnsi="Times New Roman" w:hint="eastAsia"/>
                <w:sz w:val="28"/>
                <w:szCs w:val="28"/>
              </w:rPr>
              <w:t xml:space="preserve"> S.p.A.设立的。Tierr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a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在</w:t>
            </w:r>
            <w:r w:rsidR="006A2CCA">
              <w:rPr>
                <w:rFonts w:ascii="仿宋_GB2312" w:eastAsia="仿宋_GB2312" w:hAnsi="Times New Roman" w:hint="eastAsia"/>
                <w:sz w:val="28"/>
                <w:szCs w:val="28"/>
              </w:rPr>
              <w:t>多个国家</w:t>
            </w:r>
            <w:bookmarkStart w:id="0" w:name="_GoBack"/>
            <w:bookmarkEnd w:id="0"/>
            <w:r w:rsidRPr="007C4E28">
              <w:rPr>
                <w:rFonts w:ascii="仿宋_GB2312" w:eastAsia="仿宋_GB2312" w:hAnsi="Times New Roman" w:hint="eastAsia"/>
                <w:sz w:val="28"/>
                <w:szCs w:val="28"/>
              </w:rPr>
              <w:t>提供远距通信与处理技术信息管理系统及软件解决方案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。T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ierra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在中国无运营。</w:t>
            </w:r>
          </w:p>
        </w:tc>
      </w:tr>
      <w:tr w:rsidR="00094095" w:rsidRPr="002F2D60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094095" w:rsidRPr="002F2D60" w:rsidRDefault="00094095" w:rsidP="00BB2377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简易案件理由（</w:t>
            </w:r>
            <w:r w:rsidR="005F167B">
              <w:rPr>
                <w:rFonts w:ascii="仿宋_GB2312" w:eastAsia="仿宋_GB2312" w:hAnsi="Times New Roman" w:hint="eastAsia"/>
                <w:sz w:val="28"/>
                <w:szCs w:val="28"/>
              </w:rPr>
              <w:t>可以单选，也可以多选</w:t>
            </w: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）</w:t>
            </w:r>
          </w:p>
        </w:tc>
        <w:tc>
          <w:tcPr>
            <w:tcW w:w="6949" w:type="dxa"/>
            <w:gridSpan w:val="2"/>
          </w:tcPr>
          <w:p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□1、在同一相关市场，所有参与集中的经营者所占市场份额之和小于15%。</w:t>
            </w:r>
          </w:p>
        </w:tc>
      </w:tr>
      <w:tr w:rsidR="00094095" w:rsidRPr="002F2D60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□2、存在上下游关系的参与集中的经营者，在上下游市场所占的市场份额均小于25%。</w:t>
            </w:r>
          </w:p>
        </w:tc>
      </w:tr>
      <w:tr w:rsidR="00094095" w:rsidRPr="002F2D60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□3、不在同一相关市场、也不存在上下游关系的参与集中的经营者，在与交易有关的每个市场所占的份额均小于25%。</w:t>
            </w:r>
          </w:p>
        </w:tc>
      </w:tr>
      <w:tr w:rsidR="00094095" w:rsidRPr="002F2D60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F2D60" w:rsidRDefault="007C4E28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sym w:font="Wingdings" w:char="F0FE"/>
            </w:r>
            <w:r w:rsidR="00094095"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4、参与集中的经营者在中国境外设立合营企业，合营企业不在中国境内从事经济活动。</w:t>
            </w:r>
          </w:p>
        </w:tc>
      </w:tr>
      <w:tr w:rsidR="00094095" w:rsidRPr="002F2D60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□5、参与集中的经营者收购境外企业股权或资产的，该境外企业不在中国境内从事经济活动。</w:t>
            </w:r>
          </w:p>
        </w:tc>
      </w:tr>
      <w:tr w:rsidR="00094095" w:rsidRPr="002F2D60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□6、由两个以上的经营者共同控制的合营企业，通过集中被其中一个或一个以上经营者控制。</w:t>
            </w:r>
          </w:p>
        </w:tc>
      </w:tr>
      <w:tr w:rsidR="00094095" w:rsidRPr="002F2D60" w:rsidTr="002F2D60">
        <w:tc>
          <w:tcPr>
            <w:tcW w:w="1809" w:type="dxa"/>
            <w:shd w:val="clear" w:color="auto" w:fill="D9D9D9"/>
          </w:tcPr>
          <w:p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</w:tr>
    </w:tbl>
    <w:p w:rsidR="00BB2377" w:rsidRDefault="00BB2377" w:rsidP="00BB2377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:rsidR="005F167B" w:rsidRPr="00BB2377" w:rsidRDefault="005F167B" w:rsidP="00BB2377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  <w:r w:rsidRPr="00BB2377">
        <w:rPr>
          <w:rFonts w:ascii="楷体_GB2312" w:eastAsia="楷体_GB2312" w:hAnsi="宋体" w:hint="eastAsia"/>
          <w:sz w:val="24"/>
          <w:szCs w:val="24"/>
        </w:rPr>
        <w:t>注解：</w:t>
      </w:r>
    </w:p>
    <w:p w:rsidR="005F167B" w:rsidRPr="00BB2377" w:rsidRDefault="005F167B" w:rsidP="00BB2377">
      <w:pPr>
        <w:snapToGrid w:val="0"/>
        <w:spacing w:line="360" w:lineRule="auto"/>
        <w:ind w:firstLineChars="200" w:firstLine="480"/>
        <w:jc w:val="left"/>
        <w:rPr>
          <w:rFonts w:ascii="楷体_GB2312" w:eastAsia="楷体_GB2312" w:hAnsi="宋体"/>
          <w:sz w:val="24"/>
          <w:szCs w:val="24"/>
        </w:rPr>
      </w:pPr>
      <w:r w:rsidRPr="00BB2377">
        <w:rPr>
          <w:rFonts w:ascii="楷体_GB2312" w:eastAsia="楷体_GB2312" w:hAnsi="宋体" w:hint="eastAsia"/>
          <w:sz w:val="24"/>
          <w:szCs w:val="24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</w:t>
      </w:r>
      <w:proofErr w:type="gramStart"/>
      <w:r w:rsidRPr="00BB2377">
        <w:rPr>
          <w:rFonts w:ascii="楷体_GB2312" w:eastAsia="楷体_GB2312" w:hAnsi="宋体" w:hint="eastAsia"/>
          <w:sz w:val="24"/>
          <w:szCs w:val="24"/>
        </w:rPr>
        <w:t>没有勾选的</w:t>
      </w:r>
      <w:proofErr w:type="gramEnd"/>
      <w:r w:rsidRPr="00BB2377">
        <w:rPr>
          <w:rFonts w:ascii="楷体_GB2312" w:eastAsia="楷体_GB2312" w:hAnsi="宋体" w:hint="eastAsia"/>
          <w:sz w:val="24"/>
          <w:szCs w:val="24"/>
        </w:rPr>
        <w:t>，视为本集中不涉及该类型交易。</w:t>
      </w:r>
    </w:p>
    <w:p w:rsidR="00094095" w:rsidRPr="00BB2377" w:rsidRDefault="005F167B" w:rsidP="00BB2377">
      <w:pPr>
        <w:spacing w:line="360" w:lineRule="auto"/>
        <w:ind w:firstLineChars="200" w:firstLine="480"/>
        <w:rPr>
          <w:rFonts w:ascii="楷体_GB2312" w:eastAsia="楷体_GB2312" w:hAnsi="Times New Roman"/>
          <w:sz w:val="28"/>
          <w:szCs w:val="28"/>
        </w:rPr>
      </w:pPr>
      <w:r w:rsidRPr="00BB2377">
        <w:rPr>
          <w:rFonts w:ascii="楷体_GB2312" w:eastAsia="楷体_GB2312" w:hAnsi="宋体" w:hint="eastAsia"/>
          <w:sz w:val="24"/>
          <w:szCs w:val="24"/>
        </w:rPr>
        <w:t>2、申报方申请简易案件的理由是基于第4项、第5项时，无须在备注中说明相关市场和市场份额。</w:t>
      </w:r>
      <w:r w:rsidRPr="00BB2377">
        <w:rPr>
          <w:rFonts w:ascii="楷体_GB2312" w:eastAsia="楷体_GB2312" w:hAnsi="宋体" w:hint="eastAsia"/>
          <w:sz w:val="24"/>
          <w:szCs w:val="24"/>
        </w:rPr>
        <w:br/>
        <w:t xml:space="preserve">    3、由两个或两个以上经营者共同控制的合营企业，通过集中被其中的一个经营者控制，如果该经营者与合营企业属于同一相关市场的竞争者，则申报方在申请简易案件时，须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BB2377">
        <w:rPr>
          <w:rFonts w:ascii="楷体_GB2312" w:eastAsia="楷体_GB2312" w:hAnsi="宋体" w:hint="eastAsia"/>
          <w:sz w:val="24"/>
          <w:szCs w:val="24"/>
        </w:rPr>
        <w:t>同时勾选第1项</w:t>
      </w:r>
      <w:proofErr w:type="gramEnd"/>
      <w:r w:rsidRPr="00BB2377">
        <w:rPr>
          <w:rFonts w:ascii="楷体_GB2312" w:eastAsia="楷体_GB2312" w:hAnsi="宋体" w:hint="eastAsia"/>
          <w:sz w:val="24"/>
          <w:szCs w:val="24"/>
        </w:rPr>
        <w:t>和第6项理由，并在备注中说明界定的相关商品市场和相关地域市场（无须阐述界定理由），以及相关市场份额。市场份额可以区间形式提供，区间幅度不应超过5%。</w:t>
      </w:r>
    </w:p>
    <w:p w:rsidR="00F87C1F" w:rsidRDefault="00F87C1F"/>
    <w:sectPr w:rsidR="00F87C1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81F4B" w:rsidRDefault="00F81F4B" w:rsidP="00094095">
      <w:r>
        <w:separator/>
      </w:r>
    </w:p>
  </w:endnote>
  <w:endnote w:type="continuationSeparator" w:id="0">
    <w:p w:rsidR="00F81F4B" w:rsidRDefault="00F81F4B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微软雅黑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81F4B" w:rsidRDefault="00F81F4B" w:rsidP="00094095">
      <w:r>
        <w:separator/>
      </w:r>
    </w:p>
  </w:footnote>
  <w:footnote w:type="continuationSeparator" w:id="0">
    <w:p w:rsidR="00F81F4B" w:rsidRDefault="00F81F4B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94095"/>
    <w:rsid w:val="00094095"/>
    <w:rsid w:val="001F2EA4"/>
    <w:rsid w:val="00245776"/>
    <w:rsid w:val="002F2D60"/>
    <w:rsid w:val="00307976"/>
    <w:rsid w:val="00462174"/>
    <w:rsid w:val="005F167B"/>
    <w:rsid w:val="006A2CCA"/>
    <w:rsid w:val="007C4E28"/>
    <w:rsid w:val="00874316"/>
    <w:rsid w:val="00BA0750"/>
    <w:rsid w:val="00BB2377"/>
    <w:rsid w:val="00C9068E"/>
    <w:rsid w:val="00D21777"/>
    <w:rsid w:val="00ED21B1"/>
    <w:rsid w:val="00F81F4B"/>
    <w:rsid w:val="00F87C1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84A69F"/>
  <w15:chartTrackingRefBased/>
  <w15:docId w15:val="{830EE5B4-FEF0-447D-A71D-9F145A184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4095"/>
  </w:style>
  <w:style w:type="character" w:styleId="a6">
    <w:name w:val="endnote reference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semiHidden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semiHidden/>
    <w:rsid w:val="00D21777"/>
    <w:rPr>
      <w:sz w:val="18"/>
      <w:szCs w:val="18"/>
    </w:rPr>
  </w:style>
  <w:style w:type="paragraph" w:styleId="a9">
    <w:name w:val="footer"/>
    <w:basedOn w:val="a"/>
    <w:link w:val="aa"/>
    <w:uiPriority w:val="99"/>
    <w:semiHidden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semiHidden/>
    <w:rsid w:val="00D2177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988488-AFEA-451D-92C5-43C923B3A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Gaopeng</dc:creator>
  <cp:keywords/>
  <dc:description/>
  <cp:lastModifiedBy>Gaopeng</cp:lastModifiedBy>
  <cp:revision>4</cp:revision>
  <cp:lastPrinted>2014-10-08T02:48:00Z</cp:lastPrinted>
  <dcterms:created xsi:type="dcterms:W3CDTF">2018-09-30T02:09:00Z</dcterms:created>
  <dcterms:modified xsi:type="dcterms:W3CDTF">2018-09-30T02:54:00Z</dcterms:modified>
</cp:coreProperties>
</file>