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0637EA" w:rsidRDefault="00094095" w:rsidP="003F1E8A">
      <w:pPr>
        <w:spacing w:line="440" w:lineRule="exact"/>
        <w:jc w:val="center"/>
        <w:rPr>
          <w:rFonts w:ascii="Arial" w:hAnsi="Arial"/>
          <w:sz w:val="30"/>
          <w:szCs w:val="30"/>
        </w:rPr>
      </w:pPr>
      <w:r w:rsidRPr="000637EA">
        <w:rPr>
          <w:rFonts w:ascii="Arial" w:hAnsi="Arial" w:hint="eastAsia"/>
          <w:sz w:val="30"/>
          <w:szCs w:val="30"/>
        </w:rPr>
        <w:t>经营者集中简易案件公示表</w:t>
      </w:r>
    </w:p>
    <w:p w:rsidR="00094095" w:rsidRPr="000637EA" w:rsidRDefault="00094095" w:rsidP="00094095">
      <w:pPr>
        <w:spacing w:line="440" w:lineRule="exact"/>
        <w:ind w:firstLineChars="302" w:firstLine="846"/>
        <w:rPr>
          <w:rFonts w:ascii="Arial" w:hAnsi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094095" w:rsidRPr="000637EA" w:rsidTr="002F2D60">
        <w:tc>
          <w:tcPr>
            <w:tcW w:w="1809" w:type="dxa"/>
            <w:shd w:val="clear" w:color="auto" w:fill="D9D9D9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0637EA" w:rsidRDefault="003F1E8A" w:rsidP="003F1E8A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加拿大公共部门养老金投资委员会收购海岛森林有限合伙股权案</w:t>
            </w:r>
          </w:p>
        </w:tc>
      </w:tr>
      <w:tr w:rsidR="00094095" w:rsidRPr="000637EA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交易概况（限</w:t>
            </w:r>
            <w:r w:rsidRPr="000637EA">
              <w:rPr>
                <w:rFonts w:ascii="Arial" w:hAnsi="Arial" w:hint="eastAsia"/>
                <w:sz w:val="24"/>
                <w:szCs w:val="24"/>
              </w:rPr>
              <w:t>200</w:t>
            </w:r>
            <w:r w:rsidRPr="000637EA">
              <w:rPr>
                <w:rFonts w:ascii="Arial" w:hAnsi="Arial" w:hint="eastAsia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B317B1" w:rsidRDefault="003F1E8A" w:rsidP="00E203F1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B317B1">
              <w:rPr>
                <w:rFonts w:ascii="Arial" w:hAnsi="Arial" w:hint="eastAsia"/>
                <w:sz w:val="24"/>
                <w:szCs w:val="24"/>
              </w:rPr>
              <w:t>海岛森林有限合伙（“海岛森林”</w:t>
            </w:r>
            <w:r w:rsidR="004A6F36">
              <w:rPr>
                <w:rFonts w:ascii="Arial" w:hAnsi="Arial" w:hint="eastAsia"/>
                <w:sz w:val="24"/>
                <w:szCs w:val="24"/>
              </w:rPr>
              <w:t>）目前由不列颠哥伦比亚投资管理公司（</w:t>
            </w:r>
            <w:r w:rsidRPr="00B317B1">
              <w:rPr>
                <w:rFonts w:ascii="Arial" w:hAnsi="Arial" w:hint="eastAsia"/>
                <w:sz w:val="24"/>
                <w:szCs w:val="24"/>
              </w:rPr>
              <w:t>BCI</w:t>
            </w:r>
            <w:r w:rsidR="004A6F36">
              <w:rPr>
                <w:rFonts w:ascii="Arial" w:hAnsi="Arial" w:hint="eastAsia"/>
                <w:sz w:val="24"/>
                <w:szCs w:val="24"/>
              </w:rPr>
              <w:t>）和亚伯达投资管理公司（</w:t>
            </w:r>
            <w:r w:rsidRPr="00B317B1">
              <w:rPr>
                <w:rFonts w:ascii="Arial" w:hAnsi="Arial" w:hint="eastAsia"/>
                <w:sz w:val="24"/>
                <w:szCs w:val="24"/>
              </w:rPr>
              <w:t>AIMCo</w:t>
            </w:r>
            <w:r w:rsidRPr="00B317B1">
              <w:rPr>
                <w:rFonts w:ascii="Arial" w:hAnsi="Arial" w:hint="eastAsia"/>
                <w:sz w:val="24"/>
                <w:szCs w:val="24"/>
              </w:rPr>
              <w:t>）共同所有。拟议交易后，海岛森林和西部木业均将由</w:t>
            </w:r>
            <w:r w:rsidRPr="00B317B1">
              <w:rPr>
                <w:rFonts w:ascii="Arial" w:hAnsi="Arial" w:hint="eastAsia"/>
                <w:sz w:val="24"/>
                <w:szCs w:val="24"/>
              </w:rPr>
              <w:t>PSPIB</w:t>
            </w:r>
            <w:r w:rsidRPr="00B317B1">
              <w:rPr>
                <w:rFonts w:ascii="Arial" w:hAnsi="Arial" w:hint="eastAsia"/>
                <w:sz w:val="24"/>
                <w:szCs w:val="24"/>
              </w:rPr>
              <w:t>，</w:t>
            </w:r>
            <w:r w:rsidRPr="00B317B1">
              <w:rPr>
                <w:rFonts w:ascii="Arial" w:hAnsi="Arial" w:hint="eastAsia"/>
                <w:sz w:val="24"/>
                <w:szCs w:val="24"/>
              </w:rPr>
              <w:t>BCI</w:t>
            </w:r>
            <w:r w:rsidRPr="00B317B1">
              <w:rPr>
                <w:rFonts w:ascii="Arial" w:hAnsi="Arial" w:hint="eastAsia"/>
                <w:sz w:val="24"/>
                <w:szCs w:val="24"/>
              </w:rPr>
              <w:t>和</w:t>
            </w:r>
            <w:r w:rsidRPr="00B317B1">
              <w:rPr>
                <w:rFonts w:ascii="Arial" w:hAnsi="Arial" w:hint="eastAsia"/>
                <w:sz w:val="24"/>
                <w:szCs w:val="24"/>
              </w:rPr>
              <w:t>AIMCo</w:t>
            </w:r>
            <w:r w:rsidR="007B2253" w:rsidRPr="00B317B1">
              <w:rPr>
                <w:rFonts w:ascii="Arial" w:hAnsi="Arial" w:hint="eastAsia"/>
                <w:sz w:val="24"/>
                <w:szCs w:val="24"/>
              </w:rPr>
              <w:t>共同所有，并由</w:t>
            </w:r>
            <w:r w:rsidR="007B2253" w:rsidRPr="00B317B1">
              <w:rPr>
                <w:rFonts w:ascii="Arial" w:hAnsi="Arial" w:hint="eastAsia"/>
                <w:sz w:val="24"/>
                <w:szCs w:val="24"/>
              </w:rPr>
              <w:t>PSPIB</w:t>
            </w:r>
            <w:r w:rsidR="007B2253" w:rsidRPr="00B317B1">
              <w:rPr>
                <w:rFonts w:ascii="Arial" w:hAnsi="Arial" w:hint="eastAsia"/>
                <w:sz w:val="24"/>
                <w:szCs w:val="24"/>
              </w:rPr>
              <w:t>和</w:t>
            </w:r>
            <w:r w:rsidR="007B2253" w:rsidRPr="00B317B1">
              <w:rPr>
                <w:rFonts w:ascii="Arial" w:hAnsi="Arial" w:hint="eastAsia"/>
                <w:sz w:val="24"/>
                <w:szCs w:val="24"/>
              </w:rPr>
              <w:t>BCI</w:t>
            </w:r>
            <w:r w:rsidR="007B2253" w:rsidRPr="00B317B1">
              <w:rPr>
                <w:rFonts w:ascii="Arial" w:hAnsi="Arial" w:hint="eastAsia"/>
                <w:sz w:val="24"/>
                <w:szCs w:val="24"/>
              </w:rPr>
              <w:t>共同控制。</w:t>
            </w:r>
          </w:p>
        </w:tc>
      </w:tr>
      <w:tr w:rsidR="000637EA" w:rsidRPr="000637EA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637EA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0637EA" w:rsidRPr="000637EA" w:rsidRDefault="000637EA" w:rsidP="00B317B1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1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、</w:t>
            </w:r>
            <w:r w:rsidR="00B317B1" w:rsidRPr="00B317B1">
              <w:rPr>
                <w:rFonts w:ascii="Arial" w:hAnsi="Arial" w:hint="eastAsia"/>
                <w:sz w:val="24"/>
                <w:szCs w:val="24"/>
              </w:rPr>
              <w:t>加拿大公共部门养老金投资委员会</w:t>
            </w:r>
            <w:r w:rsidR="00B317B1">
              <w:rPr>
                <w:rFonts w:ascii="Arial" w:hAnsi="Arial" w:hint="eastAsia"/>
                <w:sz w:val="24"/>
                <w:szCs w:val="24"/>
              </w:rPr>
              <w:t>（</w:t>
            </w:r>
            <w:r w:rsidR="00B317B1" w:rsidRPr="000637EA">
              <w:rPr>
                <w:rFonts w:ascii="Arial" w:hAnsi="Arial"/>
                <w:sz w:val="24"/>
                <w:szCs w:val="24"/>
              </w:rPr>
              <w:t>PSPIB</w:t>
            </w:r>
            <w:r w:rsidR="00B317B1">
              <w:rPr>
                <w:rFonts w:ascii="Arial" w:hAnsi="Arial" w:hint="eastAsia"/>
                <w:sz w:val="24"/>
                <w:szCs w:val="24"/>
              </w:rPr>
              <w:t>）</w:t>
            </w:r>
          </w:p>
        </w:tc>
        <w:tc>
          <w:tcPr>
            <w:tcW w:w="5153" w:type="dxa"/>
          </w:tcPr>
          <w:p w:rsidR="000637EA" w:rsidRPr="000637EA" w:rsidRDefault="000637EA" w:rsidP="00B317B1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PSPIB</w:t>
            </w:r>
            <w:r w:rsidRPr="000637EA">
              <w:rPr>
                <w:rFonts w:ascii="Arial" w:hAnsi="Arial" w:hint="eastAsia"/>
                <w:sz w:val="24"/>
                <w:szCs w:val="24"/>
              </w:rPr>
              <w:t>是一家由加拿大国会依据《公共部门养老金投资委员会法》设立的加拿大皇家公司。该公司适用雇主和员工的净缴款进行投资。</w:t>
            </w:r>
            <w:r w:rsidRPr="000637EA">
              <w:rPr>
                <w:rFonts w:ascii="Arial" w:hAnsi="Arial" w:hint="eastAsia"/>
                <w:sz w:val="24"/>
                <w:szCs w:val="24"/>
              </w:rPr>
              <w:t>PSPIB</w:t>
            </w:r>
            <w:r w:rsidRPr="000637EA">
              <w:rPr>
                <w:rFonts w:ascii="Arial" w:hAnsi="Arial" w:hint="eastAsia"/>
                <w:sz w:val="24"/>
                <w:szCs w:val="24"/>
              </w:rPr>
              <w:t>在全球范围内管理着多样化的投资组合，包括股票，债券和其他固定收益证券，以及私募股权、房地产、基础设施、自然资源和私人债务。</w:t>
            </w:r>
          </w:p>
        </w:tc>
      </w:tr>
      <w:tr w:rsidR="000637EA" w:rsidRPr="000637EA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637EA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796" w:type="dxa"/>
          </w:tcPr>
          <w:p w:rsidR="000637EA" w:rsidRPr="000637EA" w:rsidRDefault="000637EA" w:rsidP="00B317B1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2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、</w:t>
            </w:r>
            <w:r w:rsidR="00B317B1" w:rsidRPr="000637EA">
              <w:rPr>
                <w:rFonts w:ascii="Arial" w:hAnsi="Arial" w:hint="eastAsia"/>
                <w:sz w:val="24"/>
                <w:szCs w:val="24"/>
              </w:rPr>
              <w:t>不列颠哥伦比亚投资管理公司</w:t>
            </w:r>
            <w:r w:rsidR="00B317B1">
              <w:rPr>
                <w:rFonts w:ascii="Arial" w:hAnsi="Arial" w:hint="eastAsia"/>
                <w:sz w:val="24"/>
                <w:szCs w:val="24"/>
              </w:rPr>
              <w:t>（</w:t>
            </w:r>
            <w:r w:rsidR="00B317B1" w:rsidRPr="000637EA">
              <w:rPr>
                <w:rFonts w:ascii="Arial" w:hAnsi="Arial"/>
                <w:sz w:val="24"/>
                <w:szCs w:val="24"/>
              </w:rPr>
              <w:t>BCI</w:t>
            </w:r>
            <w:r w:rsidR="00B317B1">
              <w:rPr>
                <w:rFonts w:ascii="Arial" w:hAnsi="Arial" w:hint="eastAsia"/>
                <w:sz w:val="24"/>
                <w:szCs w:val="24"/>
              </w:rPr>
              <w:t>）</w:t>
            </w:r>
          </w:p>
        </w:tc>
        <w:tc>
          <w:tcPr>
            <w:tcW w:w="5153" w:type="dxa"/>
          </w:tcPr>
          <w:p w:rsidR="000637EA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BCI</w:t>
            </w:r>
            <w:r w:rsidRPr="000637EA">
              <w:rPr>
                <w:rFonts w:ascii="Arial" w:hAnsi="Arial" w:hint="eastAsia"/>
                <w:sz w:val="24"/>
                <w:szCs w:val="24"/>
              </w:rPr>
              <w:t>是加拿大大型的机构投资者，根据《公共部门退休金计划法》（不列颠哥伦比亚省）注册成立。</w:t>
            </w:r>
            <w:r w:rsidRPr="000637EA">
              <w:rPr>
                <w:rFonts w:ascii="Arial" w:hAnsi="Arial" w:hint="eastAsia"/>
                <w:sz w:val="24"/>
                <w:szCs w:val="24"/>
              </w:rPr>
              <w:t>BCI</w:t>
            </w:r>
            <w:r w:rsidRPr="000637EA">
              <w:rPr>
                <w:rFonts w:ascii="Arial" w:hAnsi="Arial" w:hint="eastAsia"/>
                <w:sz w:val="24"/>
                <w:szCs w:val="24"/>
              </w:rPr>
              <w:t>的投资涵盖固定收益、抵押贷款、公共和私募股权、房地产、基础设施和可再生资源。</w:t>
            </w:r>
          </w:p>
        </w:tc>
      </w:tr>
      <w:tr w:rsidR="000637EA" w:rsidRPr="000637EA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637EA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796" w:type="dxa"/>
          </w:tcPr>
          <w:p w:rsidR="000637EA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3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、海岛森林</w:t>
            </w:r>
          </w:p>
        </w:tc>
        <w:tc>
          <w:tcPr>
            <w:tcW w:w="5153" w:type="dxa"/>
          </w:tcPr>
          <w:p w:rsidR="000637EA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海岛森林是一家在加拿大马尼托巴省注册成立的有限合伙企业，主要从事林业业务。海岛森林在英属哥伦比亚省拥有私人林地，采伐木材，并向加拿大和国际客户供应未经加工的原木。</w:t>
            </w:r>
          </w:p>
        </w:tc>
      </w:tr>
      <w:tr w:rsidR="00094095" w:rsidRPr="000637EA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637EA" w:rsidRDefault="00094095" w:rsidP="00BB2377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简易案件理由（</w:t>
            </w:r>
            <w:r w:rsidR="005F167B" w:rsidRPr="000637EA">
              <w:rPr>
                <w:rFonts w:ascii="Arial" w:hAnsi="Arial" w:hint="eastAsia"/>
                <w:sz w:val="24"/>
                <w:szCs w:val="24"/>
              </w:rPr>
              <w:t>可以单选，也可以多选</w:t>
            </w:r>
            <w:r w:rsidRPr="000637EA">
              <w:rPr>
                <w:rFonts w:ascii="Arial" w:hAnsi="Arial" w:hint="eastAsia"/>
                <w:sz w:val="24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cs="Arial"/>
                <w:bCs/>
                <w:sz w:val="20"/>
                <w:szCs w:val="20"/>
                <w:lang w:val="en-GB"/>
              </w:rPr>
              <w:sym w:font="Wingdings" w:char="F0FE"/>
            </w:r>
            <w:r w:rsidR="00094095" w:rsidRPr="000637EA">
              <w:rPr>
                <w:rFonts w:ascii="Arial" w:hAnsi="Arial" w:hint="eastAsia"/>
                <w:sz w:val="24"/>
                <w:szCs w:val="24"/>
              </w:rPr>
              <w:t>1</w:t>
            </w:r>
            <w:r w:rsidR="00094095" w:rsidRPr="000637EA">
              <w:rPr>
                <w:rFonts w:ascii="Arial" w:hAnsi="Arial" w:hint="eastAsia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0637EA">
              <w:rPr>
                <w:rFonts w:ascii="Arial" w:hAnsi="Arial" w:hint="eastAsia"/>
                <w:sz w:val="24"/>
                <w:szCs w:val="24"/>
              </w:rPr>
              <w:t>15%</w:t>
            </w:r>
            <w:r w:rsidR="00094095" w:rsidRPr="000637EA">
              <w:rPr>
                <w:rFonts w:ascii="Arial" w:hAnsi="Arial" w:hint="eastAsia"/>
                <w:sz w:val="24"/>
                <w:szCs w:val="24"/>
              </w:rPr>
              <w:t>。</w:t>
            </w:r>
          </w:p>
        </w:tc>
      </w:tr>
      <w:tr w:rsidR="00094095" w:rsidRPr="000637EA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□</w:t>
            </w:r>
            <w:r w:rsidRPr="000637EA">
              <w:rPr>
                <w:rFonts w:ascii="Arial" w:hAnsi="Arial" w:hint="eastAsia"/>
                <w:sz w:val="24"/>
                <w:szCs w:val="24"/>
              </w:rPr>
              <w:t>2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Pr="000637EA">
              <w:rPr>
                <w:rFonts w:ascii="Arial" w:hAnsi="Arial" w:hint="eastAsia"/>
                <w:sz w:val="24"/>
                <w:szCs w:val="24"/>
              </w:rPr>
              <w:t>25%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。</w:t>
            </w:r>
          </w:p>
        </w:tc>
      </w:tr>
      <w:tr w:rsidR="00094095" w:rsidRPr="000637EA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□</w:t>
            </w:r>
            <w:r w:rsidRPr="000637EA">
              <w:rPr>
                <w:rFonts w:ascii="Arial" w:hAnsi="Arial" w:hint="eastAsia"/>
                <w:sz w:val="24"/>
                <w:szCs w:val="24"/>
              </w:rPr>
              <w:t>3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0637EA">
              <w:rPr>
                <w:rFonts w:ascii="Arial" w:hAnsi="Arial" w:hint="eastAsia"/>
                <w:sz w:val="24"/>
                <w:szCs w:val="24"/>
              </w:rPr>
              <w:t>25%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。</w:t>
            </w:r>
          </w:p>
        </w:tc>
      </w:tr>
      <w:tr w:rsidR="00094095" w:rsidRPr="000637EA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□</w:t>
            </w:r>
            <w:r w:rsidRPr="000637EA">
              <w:rPr>
                <w:rFonts w:ascii="Arial" w:hAnsi="Arial" w:hint="eastAsia"/>
                <w:sz w:val="24"/>
                <w:szCs w:val="24"/>
              </w:rPr>
              <w:t>4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0637EA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□</w:t>
            </w:r>
            <w:r w:rsidRPr="000637EA">
              <w:rPr>
                <w:rFonts w:ascii="Arial" w:hAnsi="Arial" w:hint="eastAsia"/>
                <w:sz w:val="24"/>
                <w:szCs w:val="24"/>
              </w:rPr>
              <w:t>5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0637EA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□</w:t>
            </w:r>
            <w:r w:rsidRPr="000637EA">
              <w:rPr>
                <w:rFonts w:ascii="Arial" w:hAnsi="Arial" w:hint="eastAsia"/>
                <w:sz w:val="24"/>
                <w:szCs w:val="24"/>
              </w:rPr>
              <w:t>6</w:t>
            </w:r>
            <w:r w:rsidRPr="000637EA">
              <w:rPr>
                <w:rFonts w:ascii="Arial" w:hAnsi="Arial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0637EA" w:rsidTr="002F2D60">
        <w:tc>
          <w:tcPr>
            <w:tcW w:w="1809" w:type="dxa"/>
            <w:shd w:val="clear" w:color="auto" w:fill="D9D9D9"/>
          </w:tcPr>
          <w:p w:rsidR="00094095" w:rsidRPr="000637EA" w:rsidRDefault="00094095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0637EA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相关产品市场：</w:t>
            </w:r>
            <w:r w:rsidR="0003112D">
              <w:rPr>
                <w:rFonts w:ascii="Arial" w:hAnsi="Arial" w:hint="eastAsia"/>
                <w:sz w:val="24"/>
                <w:szCs w:val="24"/>
              </w:rPr>
              <w:t>硬木原木</w:t>
            </w:r>
          </w:p>
          <w:p w:rsidR="000637EA" w:rsidRPr="000637EA" w:rsidRDefault="000637EA" w:rsidP="002F2D60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相关地域市场：全球</w:t>
            </w:r>
          </w:p>
          <w:p w:rsidR="0003112D" w:rsidRDefault="000637EA" w:rsidP="002F2D60">
            <w:pPr>
              <w:spacing w:line="500" w:lineRule="exact"/>
              <w:rPr>
                <w:rFonts w:ascii="Arial" w:hAnsi="Arial"/>
                <w:kern w:val="20"/>
                <w:sz w:val="22"/>
                <w:lang w:val="en-GB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参与集中经营者的合并市场份额：</w:t>
            </w:r>
            <w:r w:rsidRPr="000637EA">
              <w:rPr>
                <w:rFonts w:ascii="Arial" w:hAnsi="Arial" w:hint="eastAsia"/>
                <w:sz w:val="24"/>
                <w:szCs w:val="24"/>
              </w:rPr>
              <w:t>[0-5]%</w:t>
            </w:r>
          </w:p>
          <w:p w:rsidR="00941F1D" w:rsidRDefault="00A619A9" w:rsidP="002F2D60">
            <w:pPr>
              <w:spacing w:line="500" w:lineRule="exact"/>
              <w:rPr>
                <w:rFonts w:ascii="Arial" w:hAnsi="Arial"/>
                <w:kern w:val="20"/>
                <w:sz w:val="22"/>
                <w:lang w:val="en-GB"/>
              </w:rPr>
            </w:pPr>
            <w:r>
              <w:rPr>
                <w:rFonts w:ascii="Arial" w:hAnsi="Arial" w:hint="eastAsia"/>
                <w:sz w:val="24"/>
                <w:szCs w:val="24"/>
              </w:rPr>
              <w:t>谨慎起见，</w:t>
            </w:r>
            <w:r w:rsidRPr="000637EA">
              <w:rPr>
                <w:rFonts w:ascii="Arial" w:hAnsi="Arial" w:hint="eastAsia"/>
                <w:sz w:val="24"/>
                <w:szCs w:val="24"/>
              </w:rPr>
              <w:t>参与集中经营者</w:t>
            </w:r>
            <w:r>
              <w:rPr>
                <w:rFonts w:ascii="Arial" w:hAnsi="Arial" w:hint="eastAsia"/>
                <w:sz w:val="24"/>
                <w:szCs w:val="24"/>
              </w:rPr>
              <w:t>同时提供其在中国的合并市场份额：</w:t>
            </w:r>
            <w:r>
              <w:rPr>
                <w:rFonts w:ascii="Arial" w:hAnsi="Arial" w:hint="eastAsia"/>
                <w:sz w:val="24"/>
                <w:szCs w:val="24"/>
              </w:rPr>
              <w:t>[</w:t>
            </w:r>
            <w:r>
              <w:rPr>
                <w:rFonts w:ascii="Arial" w:hAnsi="Arial"/>
                <w:sz w:val="24"/>
                <w:szCs w:val="24"/>
              </w:rPr>
              <w:t>0-5</w:t>
            </w:r>
            <w:bookmarkStart w:id="0" w:name="_GoBack"/>
            <w:bookmarkEnd w:id="0"/>
            <w:r>
              <w:rPr>
                <w:rFonts w:ascii="Arial" w:hAnsi="Arial" w:hint="eastAsia"/>
                <w:sz w:val="24"/>
                <w:szCs w:val="24"/>
              </w:rPr>
              <w:t>]</w:t>
            </w:r>
            <w:r>
              <w:rPr>
                <w:rFonts w:ascii="Arial" w:hAnsi="Arial"/>
                <w:sz w:val="24"/>
                <w:szCs w:val="24"/>
              </w:rPr>
              <w:t>%</w:t>
            </w:r>
          </w:p>
          <w:p w:rsidR="0003112D" w:rsidRDefault="0003112D" w:rsidP="002F2D60">
            <w:pPr>
              <w:spacing w:line="500" w:lineRule="exact"/>
              <w:rPr>
                <w:rFonts w:ascii="Arial" w:hAnsi="Arial"/>
                <w:kern w:val="20"/>
                <w:sz w:val="22"/>
                <w:lang w:val="en-GB"/>
              </w:rPr>
            </w:pPr>
          </w:p>
          <w:p w:rsidR="0003112D" w:rsidRPr="000637EA" w:rsidRDefault="0003112D" w:rsidP="0003112D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相关产品市场：</w:t>
            </w:r>
            <w:r>
              <w:rPr>
                <w:rFonts w:ascii="Arial" w:hAnsi="Arial" w:hint="eastAsia"/>
                <w:sz w:val="24"/>
                <w:szCs w:val="24"/>
              </w:rPr>
              <w:t>软木原木</w:t>
            </w:r>
          </w:p>
          <w:p w:rsidR="0003112D" w:rsidRPr="000637EA" w:rsidRDefault="0003112D" w:rsidP="0003112D">
            <w:pPr>
              <w:spacing w:line="500" w:lineRule="exact"/>
              <w:rPr>
                <w:rFonts w:ascii="Arial" w:hAnsi="Arial"/>
                <w:sz w:val="24"/>
                <w:szCs w:val="24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相关地域市场：全球</w:t>
            </w:r>
          </w:p>
          <w:p w:rsidR="0003112D" w:rsidRDefault="0003112D" w:rsidP="0003112D">
            <w:pPr>
              <w:spacing w:line="500" w:lineRule="exact"/>
              <w:rPr>
                <w:rFonts w:ascii="Arial" w:hAnsi="Arial"/>
                <w:kern w:val="20"/>
                <w:sz w:val="22"/>
                <w:lang w:val="en-GB"/>
              </w:rPr>
            </w:pPr>
            <w:r w:rsidRPr="000637EA">
              <w:rPr>
                <w:rFonts w:ascii="Arial" w:hAnsi="Arial" w:hint="eastAsia"/>
                <w:sz w:val="24"/>
                <w:szCs w:val="24"/>
              </w:rPr>
              <w:t>参与集中经营者的合并市场份额：</w:t>
            </w:r>
            <w:r w:rsidRPr="000637EA">
              <w:rPr>
                <w:rFonts w:ascii="Arial" w:hAnsi="Arial" w:hint="eastAsia"/>
                <w:sz w:val="24"/>
                <w:szCs w:val="24"/>
              </w:rPr>
              <w:t>[0-5]%</w:t>
            </w:r>
          </w:p>
          <w:p w:rsidR="00A619A9" w:rsidRDefault="00A619A9" w:rsidP="00A619A9">
            <w:pPr>
              <w:spacing w:line="500" w:lineRule="exact"/>
              <w:rPr>
                <w:rFonts w:ascii="Arial" w:hAnsi="Arial"/>
                <w:kern w:val="20"/>
                <w:sz w:val="22"/>
                <w:lang w:val="en-GB"/>
              </w:rPr>
            </w:pPr>
            <w:r>
              <w:rPr>
                <w:rFonts w:ascii="Arial" w:hAnsi="Arial" w:hint="eastAsia"/>
                <w:sz w:val="24"/>
                <w:szCs w:val="24"/>
              </w:rPr>
              <w:t>谨慎起见，</w:t>
            </w:r>
            <w:r w:rsidRPr="000637EA">
              <w:rPr>
                <w:rFonts w:ascii="Arial" w:hAnsi="Arial" w:hint="eastAsia"/>
                <w:sz w:val="24"/>
                <w:szCs w:val="24"/>
              </w:rPr>
              <w:t>参与集中经营者</w:t>
            </w:r>
            <w:r>
              <w:rPr>
                <w:rFonts w:ascii="Arial" w:hAnsi="Arial" w:hint="eastAsia"/>
                <w:sz w:val="24"/>
                <w:szCs w:val="24"/>
              </w:rPr>
              <w:t>同时提供其在中国的合并市场份额：</w:t>
            </w:r>
            <w:r>
              <w:rPr>
                <w:rFonts w:ascii="Arial" w:hAnsi="Arial" w:hint="eastAsia"/>
                <w:sz w:val="24"/>
                <w:szCs w:val="24"/>
              </w:rPr>
              <w:t>[</w:t>
            </w:r>
            <w:r>
              <w:rPr>
                <w:rFonts w:ascii="Arial" w:hAnsi="Arial"/>
                <w:sz w:val="24"/>
                <w:szCs w:val="24"/>
              </w:rPr>
              <w:t>5-10</w:t>
            </w:r>
            <w:r>
              <w:rPr>
                <w:rFonts w:ascii="Arial" w:hAnsi="Arial" w:hint="eastAsia"/>
                <w:sz w:val="24"/>
                <w:szCs w:val="24"/>
              </w:rPr>
              <w:t>]</w:t>
            </w:r>
            <w:r>
              <w:rPr>
                <w:rFonts w:ascii="Arial" w:hAnsi="Arial"/>
                <w:sz w:val="24"/>
                <w:szCs w:val="24"/>
              </w:rPr>
              <w:t>%</w:t>
            </w:r>
          </w:p>
          <w:p w:rsidR="0003112D" w:rsidRPr="0003112D" w:rsidRDefault="0003112D" w:rsidP="002F2D60">
            <w:pPr>
              <w:spacing w:line="500" w:lineRule="exact"/>
              <w:rPr>
                <w:rFonts w:ascii="Arial" w:hAnsi="Arial"/>
                <w:sz w:val="24"/>
                <w:szCs w:val="24"/>
                <w:lang w:val="en-GB"/>
              </w:rPr>
            </w:pPr>
          </w:p>
        </w:tc>
      </w:tr>
    </w:tbl>
    <w:p w:rsidR="00F87C1F" w:rsidRPr="00257677" w:rsidRDefault="00F87C1F" w:rsidP="00257677">
      <w:pPr>
        <w:spacing w:line="360" w:lineRule="auto"/>
        <w:rPr>
          <w:rFonts w:ascii="Arial" w:hAnsi="Arial"/>
          <w:sz w:val="24"/>
          <w:szCs w:val="24"/>
        </w:rPr>
      </w:pPr>
    </w:p>
    <w:sectPr w:rsidR="00F87C1F" w:rsidRPr="00257677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4856" w:rsidRDefault="00034856" w:rsidP="00094095">
      <w:r>
        <w:separator/>
      </w:r>
    </w:p>
  </w:endnote>
  <w:endnote w:type="continuationSeparator" w:id="1">
    <w:p w:rsidR="00034856" w:rsidRDefault="00034856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909543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57677" w:rsidRDefault="00D0358D">
        <w:pPr>
          <w:pStyle w:val="a7"/>
          <w:jc w:val="center"/>
        </w:pPr>
        <w:r>
          <w:fldChar w:fldCharType="begin"/>
        </w:r>
        <w:r w:rsidR="00257677">
          <w:instrText xml:space="preserve"> PAGE   \* MERGEFORMAT </w:instrText>
        </w:r>
        <w:r>
          <w:fldChar w:fldCharType="separate"/>
        </w:r>
        <w:r w:rsidR="004A6F3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57677" w:rsidRDefault="00257677" w:rsidP="00257677">
    <w:pPr>
      <w:pStyle w:val="a7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4856" w:rsidRDefault="00034856" w:rsidP="00094095">
      <w:r>
        <w:separator/>
      </w:r>
    </w:p>
  </w:footnote>
  <w:footnote w:type="continuationSeparator" w:id="1">
    <w:p w:rsidR="00034856" w:rsidRDefault="00034856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3112D"/>
    <w:rsid w:val="00034856"/>
    <w:rsid w:val="000637EA"/>
    <w:rsid w:val="0008113D"/>
    <w:rsid w:val="00094095"/>
    <w:rsid w:val="000D73F3"/>
    <w:rsid w:val="00245776"/>
    <w:rsid w:val="00257677"/>
    <w:rsid w:val="0029549A"/>
    <w:rsid w:val="002A3524"/>
    <w:rsid w:val="002F2D60"/>
    <w:rsid w:val="00307976"/>
    <w:rsid w:val="00317510"/>
    <w:rsid w:val="003F1E8A"/>
    <w:rsid w:val="004311F2"/>
    <w:rsid w:val="00462174"/>
    <w:rsid w:val="004A4525"/>
    <w:rsid w:val="004A6F36"/>
    <w:rsid w:val="005009FF"/>
    <w:rsid w:val="005F167B"/>
    <w:rsid w:val="006758C8"/>
    <w:rsid w:val="007B2253"/>
    <w:rsid w:val="00941F1D"/>
    <w:rsid w:val="00A619A9"/>
    <w:rsid w:val="00AB6C08"/>
    <w:rsid w:val="00B317B1"/>
    <w:rsid w:val="00B955F5"/>
    <w:rsid w:val="00BA0750"/>
    <w:rsid w:val="00BB2377"/>
    <w:rsid w:val="00C9068E"/>
    <w:rsid w:val="00D0358D"/>
    <w:rsid w:val="00D21777"/>
    <w:rsid w:val="00E203F1"/>
    <w:rsid w:val="00E677B7"/>
    <w:rsid w:val="00ED21B1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EastAsia" w:hAnsi="Calibri" w:cs="Times New Roman"/>
        <w:lang w:val="en-GB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46E6B-E862-47A7-B27B-5F5FFAD43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肖迪</cp:lastModifiedBy>
  <cp:revision>8</cp:revision>
  <cp:lastPrinted>2014-10-08T02:48:00Z</cp:lastPrinted>
  <dcterms:created xsi:type="dcterms:W3CDTF">2018-09-27T02:10:00Z</dcterms:created>
  <dcterms:modified xsi:type="dcterms:W3CDTF">2018-09-30T02:06:00Z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A37357944</vt:lpwstr>
  </property>
  <property fmtid="{D5CDD505-2E9C-101B-9397-08002B2CF9AE}" pid="3" name="Version">
    <vt:lpwstr>0.0</vt:lpwstr>
  </property>
  <property fmtid="{D5CDD505-2E9C-101B-9397-08002B2CF9AE}" pid="4" name="Last Modified">
    <vt:lpwstr>27 Sep 2018</vt:lpwstr>
  </property>
  <property fmtid="{D5CDD505-2E9C-101B-9397-08002B2CF9AE}" pid="5" name="Matter Number">
    <vt:lpwstr>L-276032</vt:lpwstr>
  </property>
  <property fmtid="{D5CDD505-2E9C-101B-9397-08002B2CF9AE}" pid="6" name="Client Code">
    <vt:lpwstr>10388235</vt:lpwstr>
  </property>
  <property fmtid="{D5CDD505-2E9C-101B-9397-08002B2CF9AE}" pid="7" name="Mode">
    <vt:lpwstr>SendAs</vt:lpwstr>
  </property>
  <property fmtid="{D5CDD505-2E9C-101B-9397-08002B2CF9AE}" pid="8" name="DEDocumentLocation">
    <vt:lpwstr>C:\Users\szma\AppData\Local\Linklaters\DocExplorer\Attachments\A37357944 v0.0 180927 简易案件公示表 (as filed).docx</vt:lpwstr>
  </property>
  <property fmtid="{D5CDD505-2E9C-101B-9397-08002B2CF9AE}" pid="9" name="ObjectID">
    <vt:lpwstr>09001dc8923e56fc</vt:lpwstr>
  </property>
  <property fmtid="{D5CDD505-2E9C-101B-9397-08002B2CF9AE}" pid="10" name="_MarkAsFinal">
    <vt:bool>false</vt:bool>
  </property>
</Properties>
</file>