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5C66" w:rsidRDefault="006852F5">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6B5C66" w:rsidRDefault="006B5C66">
      <w:pPr>
        <w:spacing w:line="440" w:lineRule="exact"/>
        <w:rPr>
          <w:rFonts w:ascii="黑体"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9"/>
        <w:gridCol w:w="622"/>
        <w:gridCol w:w="6327"/>
      </w:tblGrid>
      <w:tr w:rsidR="006B5C66">
        <w:tc>
          <w:tcPr>
            <w:tcW w:w="1809" w:type="dxa"/>
            <w:shd w:val="clear" w:color="auto" w:fill="D9D9D9"/>
            <w:vAlign w:val="center"/>
          </w:tcPr>
          <w:p w:rsidR="006B5C66" w:rsidRDefault="006852F5">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中国铁路物资集团有限公司收购新疆天山建材（集团）有限责任公司股权案（</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本交易</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w:t>
            </w:r>
          </w:p>
        </w:tc>
      </w:tr>
      <w:tr w:rsidR="006B5C66">
        <w:trPr>
          <w:trHeight w:val="993"/>
        </w:trPr>
        <w:tc>
          <w:tcPr>
            <w:tcW w:w="1809" w:type="dxa"/>
            <w:shd w:val="clear" w:color="auto" w:fill="D9D9D9"/>
            <w:vAlign w:val="center"/>
          </w:tcPr>
          <w:p w:rsidR="006B5C66" w:rsidRDefault="006852F5">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rsidR="006B5C66" w:rsidRDefault="006852F5">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w:t>
            </w:r>
            <w:r>
              <w:rPr>
                <w:rFonts w:ascii="仿宋" w:eastAsia="仿宋" w:hAnsi="仿宋" w:cs="宋体" w:hint="eastAsia"/>
                <w:color w:val="333333"/>
                <w:kern w:val="0"/>
                <w:sz w:val="24"/>
                <w:szCs w:val="24"/>
              </w:rPr>
              <w:t>200</w:t>
            </w:r>
            <w:r>
              <w:rPr>
                <w:rFonts w:ascii="仿宋" w:eastAsia="仿宋" w:hAnsi="仿宋" w:cs="宋体" w:hint="eastAsia"/>
                <w:color w:val="333333"/>
                <w:kern w:val="0"/>
                <w:sz w:val="24"/>
                <w:szCs w:val="24"/>
              </w:rPr>
              <w:t>字内）</w:t>
            </w:r>
          </w:p>
        </w:tc>
        <w:tc>
          <w:tcPr>
            <w:tcW w:w="6949" w:type="dxa"/>
            <w:gridSpan w:val="2"/>
          </w:tcPr>
          <w:p w:rsidR="006B5C66" w:rsidRDefault="006852F5">
            <w:pPr>
              <w:widowControl/>
              <w:snapToGrid w:val="0"/>
              <w:ind w:firstLineChars="200" w:firstLine="480"/>
              <w:jc w:val="left"/>
              <w:rPr>
                <w:rFonts w:ascii="仿宋" w:eastAsia="仿宋" w:hAnsi="仿宋" w:cs="宋体"/>
                <w:color w:val="333333"/>
                <w:kern w:val="0"/>
                <w:sz w:val="24"/>
                <w:szCs w:val="24"/>
              </w:rPr>
            </w:pPr>
            <w:r>
              <w:rPr>
                <w:rFonts w:ascii="仿宋" w:eastAsia="仿宋" w:hAnsi="仿宋" w:cs="宋体" w:hint="eastAsia"/>
                <w:color w:val="333333"/>
                <w:kern w:val="0"/>
                <w:sz w:val="24"/>
                <w:szCs w:val="24"/>
              </w:rPr>
              <w:t>国有资产无偿划出方</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中国中材集团有限公司是中国建材集团有限公司的全资子公司，与划入方</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中国铁路物资集团有限公司均为国务院国有资产监督管理委员会（以下简称“国资委”）行使出资权利的国有独资公司。中国铁路物资集团有限公司实施债转股及推进重组上市，在国资委协调支持下，经与中国建材集团有限公司协商，中国铁路物资集团有限公司与中国中材集团有限公司签订无偿划转协议，中国中材集团有限公司将其持有的新疆天山建材（集团）有限责任公司</w:t>
            </w:r>
            <w:r>
              <w:rPr>
                <w:rFonts w:ascii="仿宋" w:eastAsia="仿宋" w:hAnsi="仿宋" w:cs="宋体" w:hint="eastAsia"/>
                <w:color w:val="333333"/>
                <w:kern w:val="0"/>
                <w:sz w:val="24"/>
                <w:szCs w:val="24"/>
              </w:rPr>
              <w:t>50.95%</w:t>
            </w:r>
            <w:r>
              <w:rPr>
                <w:rFonts w:ascii="仿宋" w:eastAsia="仿宋" w:hAnsi="仿宋" w:cs="宋体" w:hint="eastAsia"/>
                <w:color w:val="333333"/>
                <w:kern w:val="0"/>
                <w:sz w:val="24"/>
                <w:szCs w:val="24"/>
              </w:rPr>
              <w:t>的国有股权无偿划转给中国铁路物资集团有限公司。</w:t>
            </w:r>
          </w:p>
        </w:tc>
      </w:tr>
      <w:tr w:rsidR="006B5C66">
        <w:trPr>
          <w:trHeight w:val="468"/>
        </w:trPr>
        <w:tc>
          <w:tcPr>
            <w:tcW w:w="1809" w:type="dxa"/>
            <w:vMerge w:val="restart"/>
            <w:shd w:val="clear" w:color="auto" w:fill="D9D9D9"/>
            <w:vAlign w:val="center"/>
          </w:tcPr>
          <w:p w:rsidR="006B5C66" w:rsidRDefault="006852F5">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rsidR="006B5C66" w:rsidRDefault="006852F5">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622" w:type="dxa"/>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Pr>
                <w:rFonts w:ascii="仿宋" w:eastAsia="仿宋" w:hAnsi="仿宋" w:cs="宋体" w:hint="eastAsia"/>
                <w:color w:val="333333"/>
                <w:kern w:val="0"/>
                <w:sz w:val="24"/>
                <w:szCs w:val="24"/>
              </w:rPr>
              <w:t>、</w:t>
            </w:r>
          </w:p>
        </w:tc>
        <w:tc>
          <w:tcPr>
            <w:tcW w:w="6327" w:type="dxa"/>
          </w:tcPr>
          <w:p w:rsidR="006B5C66" w:rsidRDefault="006852F5">
            <w:pPr>
              <w:widowControl/>
              <w:snapToGrid w:val="0"/>
              <w:ind w:firstLineChars="200" w:firstLine="480"/>
              <w:jc w:val="left"/>
              <w:rPr>
                <w:rFonts w:ascii="仿宋" w:eastAsia="仿宋" w:hAnsi="仿宋" w:cs="宋体"/>
                <w:color w:val="333333"/>
                <w:kern w:val="0"/>
                <w:sz w:val="24"/>
                <w:szCs w:val="24"/>
              </w:rPr>
            </w:pPr>
            <w:r>
              <w:rPr>
                <w:rFonts w:ascii="仿宋" w:eastAsia="仿宋" w:hAnsi="仿宋" w:cs="宋体" w:hint="eastAsia"/>
                <w:color w:val="333333"/>
                <w:kern w:val="0"/>
                <w:sz w:val="24"/>
                <w:szCs w:val="24"/>
              </w:rPr>
              <w:t>中国铁路物资集团有限公司：经营主要围绕国内外铁路运营、装备制造、建设施工，涉及铁路油品、轨道、装备、铁建、工业、物流、国际及相关多元等领域，涵盖与之相关的物资设备供应管理、质量监控、研发制造、运营维护、招标代理、国际贸易、物流服务、信息咨询、融资租赁等业务形态。</w:t>
            </w:r>
          </w:p>
        </w:tc>
      </w:tr>
      <w:tr w:rsidR="006B5C66">
        <w:trPr>
          <w:trHeight w:val="404"/>
        </w:trPr>
        <w:tc>
          <w:tcPr>
            <w:tcW w:w="1809" w:type="dxa"/>
            <w:vMerge/>
            <w:shd w:val="clear" w:color="auto" w:fill="D9D9D9"/>
            <w:vAlign w:val="center"/>
          </w:tcPr>
          <w:p w:rsidR="006B5C66" w:rsidRDefault="006B5C66">
            <w:pPr>
              <w:spacing w:line="500" w:lineRule="exact"/>
              <w:jc w:val="center"/>
              <w:rPr>
                <w:rFonts w:ascii="仿宋" w:eastAsia="仿宋" w:hAnsi="仿宋" w:cs="宋体"/>
                <w:color w:val="333333"/>
                <w:kern w:val="0"/>
                <w:sz w:val="24"/>
                <w:szCs w:val="24"/>
              </w:rPr>
            </w:pPr>
          </w:p>
        </w:tc>
        <w:tc>
          <w:tcPr>
            <w:tcW w:w="622" w:type="dxa"/>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Pr>
                <w:rFonts w:ascii="仿宋" w:eastAsia="仿宋" w:hAnsi="仿宋" w:cs="宋体" w:hint="eastAsia"/>
                <w:color w:val="333333"/>
                <w:kern w:val="0"/>
                <w:sz w:val="24"/>
                <w:szCs w:val="24"/>
              </w:rPr>
              <w:t>、</w:t>
            </w:r>
          </w:p>
        </w:tc>
        <w:tc>
          <w:tcPr>
            <w:tcW w:w="6327" w:type="dxa"/>
          </w:tcPr>
          <w:p w:rsidR="006B5C66" w:rsidRDefault="006852F5" w:rsidP="00D90CCD">
            <w:pPr>
              <w:widowControl/>
              <w:snapToGrid w:val="0"/>
              <w:ind w:firstLineChars="200" w:firstLine="480"/>
              <w:jc w:val="left"/>
              <w:rPr>
                <w:rFonts w:ascii="仿宋" w:eastAsia="仿宋" w:hAnsi="仿宋" w:cs="宋体"/>
                <w:color w:val="333333"/>
                <w:kern w:val="0"/>
                <w:sz w:val="24"/>
                <w:szCs w:val="24"/>
              </w:rPr>
            </w:pPr>
            <w:r>
              <w:rPr>
                <w:rFonts w:ascii="仿宋" w:eastAsia="仿宋" w:hAnsi="仿宋" w:cs="宋体" w:hint="eastAsia"/>
                <w:color w:val="333333"/>
                <w:kern w:val="0"/>
                <w:sz w:val="24"/>
                <w:szCs w:val="24"/>
              </w:rPr>
              <w:t>新疆天山建材（集团）有限责任公司：是以管道水务、房产建安、新材料三大主业的企业集团，集团下属</w:t>
            </w:r>
            <w:r>
              <w:rPr>
                <w:rFonts w:ascii="仿宋" w:eastAsia="仿宋" w:hAnsi="仿宋" w:cs="宋体"/>
                <w:color w:val="333333"/>
                <w:kern w:val="0"/>
                <w:sz w:val="24"/>
                <w:szCs w:val="24"/>
              </w:rPr>
              <w:t>11</w:t>
            </w:r>
            <w:r>
              <w:rPr>
                <w:rFonts w:ascii="仿宋" w:eastAsia="仿宋" w:hAnsi="仿宋" w:cs="宋体"/>
                <w:color w:val="333333"/>
                <w:kern w:val="0"/>
                <w:sz w:val="24"/>
                <w:szCs w:val="24"/>
              </w:rPr>
              <w:t>家子公司，其中全资子公司</w:t>
            </w:r>
            <w:r>
              <w:rPr>
                <w:rFonts w:ascii="仿宋" w:eastAsia="仿宋" w:hAnsi="仿宋" w:cs="宋体"/>
                <w:color w:val="333333"/>
                <w:kern w:val="0"/>
                <w:sz w:val="24"/>
                <w:szCs w:val="24"/>
              </w:rPr>
              <w:t>7</w:t>
            </w:r>
            <w:r>
              <w:rPr>
                <w:rFonts w:ascii="仿宋" w:eastAsia="仿宋" w:hAnsi="仿宋" w:cs="宋体"/>
                <w:color w:val="333333"/>
                <w:kern w:val="0"/>
                <w:sz w:val="24"/>
                <w:szCs w:val="24"/>
              </w:rPr>
              <w:t>家，控股子公司</w:t>
            </w:r>
            <w:r>
              <w:rPr>
                <w:rFonts w:ascii="仿宋" w:eastAsia="仿宋" w:hAnsi="仿宋" w:cs="宋体"/>
                <w:color w:val="333333"/>
                <w:kern w:val="0"/>
                <w:sz w:val="24"/>
                <w:szCs w:val="24"/>
              </w:rPr>
              <w:t>4</w:t>
            </w:r>
            <w:r>
              <w:rPr>
                <w:rFonts w:ascii="仿宋" w:eastAsia="仿宋" w:hAnsi="仿宋" w:cs="宋体"/>
                <w:color w:val="333333"/>
                <w:kern w:val="0"/>
                <w:sz w:val="24"/>
                <w:szCs w:val="24"/>
              </w:rPr>
              <w:t>家。</w:t>
            </w:r>
          </w:p>
        </w:tc>
      </w:tr>
      <w:tr w:rsidR="006B5C66">
        <w:trPr>
          <w:trHeight w:val="279"/>
        </w:trPr>
        <w:tc>
          <w:tcPr>
            <w:tcW w:w="1809" w:type="dxa"/>
            <w:vMerge w:val="restart"/>
            <w:shd w:val="clear" w:color="auto" w:fill="D9D9D9"/>
            <w:vAlign w:val="center"/>
          </w:tcPr>
          <w:p w:rsidR="006B5C66" w:rsidRDefault="006852F5">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b/>
                <w:bCs/>
                <w:color w:val="333333"/>
                <w:kern w:val="0"/>
                <w:sz w:val="24"/>
                <w:szCs w:val="24"/>
              </w:rPr>
              <w:sym w:font="Wingdings 2" w:char="00A3"/>
            </w:r>
            <w:r>
              <w:rPr>
                <w:rFonts w:ascii="仿宋" w:eastAsia="仿宋" w:hAnsi="仿宋" w:cs="宋体" w:hint="eastAsia"/>
                <w:color w:val="333333"/>
                <w:kern w:val="0"/>
                <w:sz w:val="24"/>
                <w:szCs w:val="24"/>
              </w:rPr>
              <w:t>1.</w:t>
            </w:r>
            <w:r>
              <w:rPr>
                <w:rFonts w:ascii="仿宋" w:eastAsia="仿宋" w:hAnsi="仿宋" w:cs="宋体" w:hint="eastAsia"/>
                <w:color w:val="333333"/>
                <w:kern w:val="0"/>
                <w:sz w:val="24"/>
                <w:szCs w:val="24"/>
              </w:rPr>
              <w:t>在同一相关市场，所有参与集中的经营者所占市场份额之和小于</w:t>
            </w:r>
            <w:r>
              <w:rPr>
                <w:rFonts w:ascii="仿宋" w:eastAsia="仿宋" w:hAnsi="仿宋" w:cs="宋体" w:hint="eastAsia"/>
                <w:color w:val="333333"/>
                <w:kern w:val="0"/>
                <w:sz w:val="24"/>
                <w:szCs w:val="24"/>
              </w:rPr>
              <w:t>15%</w:t>
            </w:r>
            <w:r>
              <w:rPr>
                <w:rFonts w:ascii="仿宋" w:eastAsia="仿宋" w:hAnsi="仿宋" w:cs="宋体" w:hint="eastAsia"/>
                <w:color w:val="333333"/>
                <w:kern w:val="0"/>
                <w:sz w:val="24"/>
                <w:szCs w:val="24"/>
              </w:rPr>
              <w:t>。</w:t>
            </w:r>
          </w:p>
        </w:tc>
      </w:tr>
      <w:tr w:rsidR="006B5C66">
        <w:trPr>
          <w:trHeight w:val="330"/>
        </w:trPr>
        <w:tc>
          <w:tcPr>
            <w:tcW w:w="1809" w:type="dxa"/>
            <w:vMerge/>
            <w:shd w:val="clear" w:color="auto" w:fill="D9D9D9"/>
            <w:vAlign w:val="center"/>
          </w:tcPr>
          <w:p w:rsidR="006B5C66" w:rsidRDefault="006B5C66">
            <w:pPr>
              <w:spacing w:line="500" w:lineRule="exact"/>
              <w:jc w:val="center"/>
              <w:rPr>
                <w:rFonts w:ascii="仿宋" w:eastAsia="仿宋" w:hAnsi="仿宋" w:cs="宋体"/>
                <w:color w:val="333333"/>
                <w:kern w:val="0"/>
                <w:sz w:val="24"/>
                <w:szCs w:val="24"/>
              </w:rPr>
            </w:pPr>
          </w:p>
        </w:tc>
        <w:tc>
          <w:tcPr>
            <w:tcW w:w="6949" w:type="dxa"/>
            <w:gridSpan w:val="2"/>
          </w:tcPr>
          <w:p w:rsidR="006B5C66" w:rsidRDefault="006852F5">
            <w:pPr>
              <w:spacing w:line="500" w:lineRule="exact"/>
              <w:rPr>
                <w:rFonts w:ascii="仿宋" w:eastAsia="仿宋" w:hAnsi="仿宋" w:cs="宋体"/>
                <w:color w:val="333333"/>
                <w:kern w:val="0"/>
                <w:sz w:val="24"/>
                <w:szCs w:val="24"/>
              </w:rPr>
            </w:pPr>
            <w:r>
              <w:rPr>
                <w:rFonts w:ascii="仿宋" w:eastAsia="仿宋" w:hAnsi="仿宋" w:hint="eastAsia"/>
                <w:sz w:val="28"/>
                <w:szCs w:val="28"/>
              </w:rPr>
              <w:sym w:font="Wingdings" w:char="00FE"/>
            </w:r>
            <w:r>
              <w:rPr>
                <w:rFonts w:ascii="仿宋" w:eastAsia="仿宋" w:hAnsi="仿宋" w:cs="宋体" w:hint="eastAsia"/>
                <w:color w:val="333333"/>
                <w:kern w:val="0"/>
                <w:sz w:val="24"/>
                <w:szCs w:val="24"/>
              </w:rPr>
              <w:t>2.</w:t>
            </w:r>
            <w:r>
              <w:rPr>
                <w:rFonts w:ascii="仿宋" w:eastAsia="仿宋" w:hAnsi="仿宋" w:cs="宋体" w:hint="eastAsia"/>
                <w:color w:val="333333"/>
                <w:kern w:val="0"/>
                <w:sz w:val="24"/>
                <w:szCs w:val="24"/>
              </w:rPr>
              <w:t>存在上下游关系的参与集中的经营者，在上下游市场所占的市场份额均小于</w:t>
            </w:r>
            <w:r>
              <w:rPr>
                <w:rFonts w:ascii="仿宋" w:eastAsia="仿宋" w:hAnsi="仿宋" w:cs="宋体" w:hint="eastAsia"/>
                <w:color w:val="333333"/>
                <w:kern w:val="0"/>
                <w:sz w:val="24"/>
                <w:szCs w:val="24"/>
              </w:rPr>
              <w:t>25%</w:t>
            </w:r>
            <w:r>
              <w:rPr>
                <w:rFonts w:ascii="仿宋" w:eastAsia="仿宋" w:hAnsi="仿宋" w:cs="宋体" w:hint="eastAsia"/>
                <w:color w:val="333333"/>
                <w:kern w:val="0"/>
                <w:sz w:val="24"/>
                <w:szCs w:val="24"/>
              </w:rPr>
              <w:t>。</w:t>
            </w:r>
          </w:p>
        </w:tc>
      </w:tr>
      <w:tr w:rsidR="006B5C66">
        <w:trPr>
          <w:trHeight w:val="285"/>
        </w:trPr>
        <w:tc>
          <w:tcPr>
            <w:tcW w:w="1809" w:type="dxa"/>
            <w:vMerge/>
            <w:shd w:val="clear" w:color="auto" w:fill="D9D9D9"/>
            <w:vAlign w:val="center"/>
          </w:tcPr>
          <w:p w:rsidR="006B5C66" w:rsidRDefault="006B5C66">
            <w:pPr>
              <w:spacing w:line="500" w:lineRule="exact"/>
              <w:jc w:val="center"/>
              <w:rPr>
                <w:rFonts w:ascii="仿宋" w:eastAsia="仿宋" w:hAnsi="仿宋" w:cs="宋体"/>
                <w:color w:val="333333"/>
                <w:kern w:val="0"/>
                <w:sz w:val="24"/>
                <w:szCs w:val="24"/>
              </w:rPr>
            </w:pPr>
          </w:p>
        </w:tc>
        <w:tc>
          <w:tcPr>
            <w:tcW w:w="6949" w:type="dxa"/>
            <w:gridSpan w:val="2"/>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b/>
                <w:bCs/>
                <w:color w:val="333333"/>
                <w:kern w:val="0"/>
                <w:sz w:val="24"/>
                <w:szCs w:val="24"/>
              </w:rPr>
              <w:sym w:font="Wingdings 2" w:char="0052"/>
            </w:r>
            <w:r>
              <w:rPr>
                <w:rFonts w:ascii="仿宋" w:eastAsia="仿宋" w:hAnsi="仿宋" w:cs="宋体" w:hint="eastAsia"/>
                <w:color w:val="333333"/>
                <w:kern w:val="0"/>
                <w:sz w:val="24"/>
                <w:szCs w:val="24"/>
              </w:rPr>
              <w:t>3.</w:t>
            </w:r>
            <w:r>
              <w:rPr>
                <w:rFonts w:ascii="仿宋" w:eastAsia="仿宋" w:hAnsi="仿宋" w:cs="宋体" w:hint="eastAsia"/>
                <w:color w:val="333333"/>
                <w:kern w:val="0"/>
                <w:sz w:val="24"/>
                <w:szCs w:val="24"/>
              </w:rPr>
              <w:t>不在同一相关市场、也不存在上下游关系的参与集中的经营者，在与交易有关的每个市场所占的份额均小于</w:t>
            </w:r>
            <w:r>
              <w:rPr>
                <w:rFonts w:ascii="仿宋" w:eastAsia="仿宋" w:hAnsi="仿宋" w:cs="宋体" w:hint="eastAsia"/>
                <w:color w:val="333333"/>
                <w:kern w:val="0"/>
                <w:sz w:val="24"/>
                <w:szCs w:val="24"/>
              </w:rPr>
              <w:t>25%</w:t>
            </w:r>
            <w:r>
              <w:rPr>
                <w:rFonts w:ascii="仿宋" w:eastAsia="仿宋" w:hAnsi="仿宋" w:cs="宋体" w:hint="eastAsia"/>
                <w:color w:val="333333"/>
                <w:kern w:val="0"/>
                <w:sz w:val="24"/>
                <w:szCs w:val="24"/>
              </w:rPr>
              <w:t>。</w:t>
            </w:r>
          </w:p>
        </w:tc>
      </w:tr>
      <w:tr w:rsidR="006B5C66">
        <w:trPr>
          <w:trHeight w:val="870"/>
        </w:trPr>
        <w:tc>
          <w:tcPr>
            <w:tcW w:w="1809" w:type="dxa"/>
            <w:vMerge/>
            <w:shd w:val="clear" w:color="auto" w:fill="D9D9D9"/>
            <w:vAlign w:val="center"/>
          </w:tcPr>
          <w:p w:rsidR="006B5C66" w:rsidRDefault="006B5C66">
            <w:pPr>
              <w:spacing w:line="500" w:lineRule="exact"/>
              <w:jc w:val="center"/>
              <w:rPr>
                <w:rFonts w:ascii="仿宋" w:eastAsia="仿宋" w:hAnsi="仿宋" w:cs="宋体"/>
                <w:color w:val="333333"/>
                <w:kern w:val="0"/>
                <w:sz w:val="24"/>
                <w:szCs w:val="24"/>
              </w:rPr>
            </w:pPr>
          </w:p>
        </w:tc>
        <w:tc>
          <w:tcPr>
            <w:tcW w:w="6949" w:type="dxa"/>
            <w:gridSpan w:val="2"/>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4.</w:t>
            </w:r>
            <w:r>
              <w:rPr>
                <w:rFonts w:ascii="仿宋" w:eastAsia="仿宋" w:hAnsi="仿宋" w:cs="宋体" w:hint="eastAsia"/>
                <w:color w:val="333333"/>
                <w:kern w:val="0"/>
                <w:sz w:val="24"/>
                <w:szCs w:val="24"/>
              </w:rPr>
              <w:t>参与集中的经营者在中国境外设立合营企业，合营企业不在中国境内从事经济活动。</w:t>
            </w:r>
          </w:p>
        </w:tc>
      </w:tr>
      <w:tr w:rsidR="006B5C66">
        <w:trPr>
          <w:trHeight w:val="264"/>
        </w:trPr>
        <w:tc>
          <w:tcPr>
            <w:tcW w:w="1809" w:type="dxa"/>
            <w:vMerge/>
            <w:shd w:val="clear" w:color="auto" w:fill="D9D9D9"/>
            <w:vAlign w:val="center"/>
          </w:tcPr>
          <w:p w:rsidR="006B5C66" w:rsidRDefault="006B5C66">
            <w:pPr>
              <w:spacing w:line="500" w:lineRule="exact"/>
              <w:jc w:val="center"/>
              <w:rPr>
                <w:rFonts w:ascii="仿宋" w:eastAsia="仿宋" w:hAnsi="仿宋" w:cs="宋体"/>
                <w:color w:val="333333"/>
                <w:kern w:val="0"/>
                <w:sz w:val="24"/>
                <w:szCs w:val="24"/>
              </w:rPr>
            </w:pPr>
          </w:p>
        </w:tc>
        <w:tc>
          <w:tcPr>
            <w:tcW w:w="6949" w:type="dxa"/>
            <w:gridSpan w:val="2"/>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5.</w:t>
            </w:r>
            <w:r>
              <w:rPr>
                <w:rFonts w:ascii="仿宋" w:eastAsia="仿宋" w:hAnsi="仿宋" w:cs="宋体" w:hint="eastAsia"/>
                <w:color w:val="333333"/>
                <w:kern w:val="0"/>
                <w:sz w:val="24"/>
                <w:szCs w:val="24"/>
              </w:rPr>
              <w:t>参与集中的经营者收购境外企业股权或资产的，该境外企业不在中国境内从事经济活动。</w:t>
            </w:r>
          </w:p>
        </w:tc>
      </w:tr>
      <w:tr w:rsidR="006B5C66">
        <w:trPr>
          <w:trHeight w:val="1005"/>
        </w:trPr>
        <w:tc>
          <w:tcPr>
            <w:tcW w:w="1809" w:type="dxa"/>
            <w:vMerge/>
            <w:shd w:val="clear" w:color="auto" w:fill="D9D9D9"/>
            <w:vAlign w:val="center"/>
          </w:tcPr>
          <w:p w:rsidR="006B5C66" w:rsidRDefault="006B5C66">
            <w:pPr>
              <w:spacing w:line="500" w:lineRule="exact"/>
              <w:jc w:val="center"/>
              <w:rPr>
                <w:rFonts w:ascii="仿宋" w:eastAsia="仿宋" w:hAnsi="仿宋" w:cs="宋体"/>
                <w:color w:val="333333"/>
                <w:kern w:val="0"/>
                <w:sz w:val="24"/>
                <w:szCs w:val="24"/>
              </w:rPr>
            </w:pPr>
          </w:p>
        </w:tc>
        <w:tc>
          <w:tcPr>
            <w:tcW w:w="6949" w:type="dxa"/>
            <w:gridSpan w:val="2"/>
          </w:tcPr>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6.</w:t>
            </w:r>
            <w:r>
              <w:rPr>
                <w:rFonts w:ascii="仿宋" w:eastAsia="仿宋" w:hAnsi="仿宋" w:cs="宋体" w:hint="eastAsia"/>
                <w:color w:val="333333"/>
                <w:kern w:val="0"/>
                <w:sz w:val="24"/>
                <w:szCs w:val="24"/>
              </w:rPr>
              <w:t>由两个以上的经营者共同控制的合营企业，通过集中被其中一个或一个以上经营者控制。</w:t>
            </w:r>
          </w:p>
        </w:tc>
      </w:tr>
      <w:tr w:rsidR="006B5C66">
        <w:tc>
          <w:tcPr>
            <w:tcW w:w="1809" w:type="dxa"/>
            <w:shd w:val="clear" w:color="auto" w:fill="D9D9D9"/>
            <w:vAlign w:val="center"/>
          </w:tcPr>
          <w:p w:rsidR="006B5C66" w:rsidRDefault="006852F5">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lastRenderedPageBreak/>
              <w:t>备注</w:t>
            </w:r>
          </w:p>
        </w:tc>
        <w:tc>
          <w:tcPr>
            <w:tcW w:w="6949" w:type="dxa"/>
            <w:gridSpan w:val="2"/>
          </w:tcPr>
          <w:p w:rsidR="006B5C66" w:rsidRDefault="006852F5">
            <w:pPr>
              <w:numPr>
                <w:ilvl w:val="0"/>
                <w:numId w:val="1"/>
              </w:numPr>
              <w:spacing w:line="500" w:lineRule="exact"/>
              <w:rPr>
                <w:rFonts w:ascii="仿宋" w:eastAsia="仿宋" w:hAnsi="仿宋" w:cs="宋体"/>
                <w:color w:val="333333"/>
                <w:kern w:val="0"/>
                <w:sz w:val="24"/>
                <w:szCs w:val="24"/>
              </w:rPr>
            </w:pPr>
            <w:r>
              <w:rPr>
                <w:rFonts w:ascii="仿宋" w:eastAsia="仿宋" w:hAnsi="仿宋" w:cs="宋体" w:hint="eastAsia"/>
                <w:b/>
                <w:bCs/>
                <w:color w:val="333333"/>
                <w:kern w:val="0"/>
                <w:sz w:val="24"/>
                <w:szCs w:val="24"/>
              </w:rPr>
              <w:t>水泥熟料（</w:t>
            </w:r>
            <w:r>
              <w:rPr>
                <w:rFonts w:ascii="仿宋" w:eastAsia="仿宋" w:hAnsi="仿宋" w:cs="宋体" w:hint="eastAsia"/>
                <w:b/>
                <w:bCs/>
                <w:color w:val="333333"/>
                <w:kern w:val="0"/>
                <w:sz w:val="24"/>
                <w:szCs w:val="24"/>
              </w:rPr>
              <w:t>上游</w:t>
            </w:r>
            <w:r>
              <w:rPr>
                <w:rFonts w:ascii="仿宋" w:eastAsia="仿宋" w:hAnsi="仿宋" w:cs="宋体" w:hint="eastAsia"/>
                <w:b/>
                <w:bCs/>
                <w:color w:val="333333"/>
                <w:kern w:val="0"/>
                <w:sz w:val="24"/>
                <w:szCs w:val="24"/>
              </w:rPr>
              <w:t>）</w:t>
            </w:r>
            <w:r>
              <w:rPr>
                <w:rFonts w:ascii="仿宋" w:eastAsia="仿宋" w:hAnsi="仿宋" w:cs="宋体" w:hint="eastAsia"/>
                <w:b/>
                <w:bCs/>
                <w:color w:val="333333"/>
                <w:kern w:val="0"/>
                <w:sz w:val="24"/>
                <w:szCs w:val="24"/>
              </w:rPr>
              <w:t>地域范围：</w:t>
            </w:r>
            <w:r>
              <w:rPr>
                <w:rFonts w:ascii="仿宋" w:eastAsia="仿宋" w:hAnsi="仿宋" w:cs="宋体" w:hint="eastAsia"/>
                <w:color w:val="333333"/>
                <w:kern w:val="0"/>
                <w:sz w:val="24"/>
                <w:szCs w:val="24"/>
              </w:rPr>
              <w:t>安徽省马鞍山市含山县为中心的</w:t>
            </w:r>
            <w:r>
              <w:rPr>
                <w:rFonts w:ascii="仿宋" w:eastAsia="仿宋" w:hAnsi="仿宋" w:cs="宋体" w:hint="eastAsia"/>
                <w:color w:val="333333"/>
                <w:kern w:val="0"/>
                <w:sz w:val="24"/>
                <w:szCs w:val="24"/>
              </w:rPr>
              <w:t>2</w:t>
            </w:r>
            <w:r>
              <w:rPr>
                <w:rFonts w:ascii="仿宋" w:eastAsia="仿宋" w:hAnsi="仿宋" w:cs="宋体"/>
                <w:color w:val="333333"/>
                <w:kern w:val="0"/>
                <w:sz w:val="24"/>
                <w:szCs w:val="24"/>
              </w:rPr>
              <w:t>00</w:t>
            </w:r>
            <w:r>
              <w:rPr>
                <w:rFonts w:ascii="仿宋" w:eastAsia="仿宋" w:hAnsi="仿宋" w:cs="宋体" w:hint="eastAsia"/>
                <w:color w:val="333333"/>
                <w:kern w:val="0"/>
                <w:sz w:val="24"/>
                <w:szCs w:val="24"/>
              </w:rPr>
              <w:t>公里半径区域内中国铁路物资集团有限公司下属的安徽铁鹏水泥有限公司</w:t>
            </w:r>
            <w:r>
              <w:rPr>
                <w:rFonts w:ascii="仿宋" w:eastAsia="仿宋" w:hAnsi="仿宋" w:cs="宋体" w:hint="eastAsia"/>
                <w:color w:val="333333"/>
                <w:kern w:val="0"/>
                <w:sz w:val="24"/>
                <w:szCs w:val="24"/>
              </w:rPr>
              <w:t xml:space="preserve"> </w:t>
            </w:r>
            <w:r>
              <w:rPr>
                <w:rFonts w:ascii="仿宋" w:eastAsia="仿宋" w:hAnsi="仿宋" w:cs="宋体"/>
                <w:color w:val="333333"/>
                <w:kern w:val="0"/>
                <w:sz w:val="24"/>
                <w:szCs w:val="24"/>
              </w:rPr>
              <w:t>2017</w:t>
            </w:r>
            <w:r>
              <w:rPr>
                <w:rFonts w:ascii="仿宋" w:eastAsia="仿宋" w:hAnsi="仿宋" w:cs="宋体" w:hint="eastAsia"/>
                <w:color w:val="333333"/>
                <w:kern w:val="0"/>
                <w:sz w:val="24"/>
                <w:szCs w:val="24"/>
              </w:rPr>
              <w:t>年市场份额【</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1</w:t>
            </w:r>
            <w:r>
              <w:rPr>
                <w:rFonts w:ascii="仿宋" w:eastAsia="仿宋" w:hAnsi="仿宋" w:cs="宋体"/>
                <w:color w:val="333333"/>
                <w:kern w:val="0"/>
                <w:sz w:val="24"/>
                <w:szCs w:val="24"/>
              </w:rPr>
              <w:t>0</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w:t>
            </w:r>
          </w:p>
          <w:p w:rsidR="006B5C66" w:rsidRDefault="006852F5">
            <w:pPr>
              <w:numPr>
                <w:ilvl w:val="0"/>
                <w:numId w:val="1"/>
              </w:numPr>
              <w:spacing w:line="500" w:lineRule="exact"/>
              <w:rPr>
                <w:rFonts w:ascii="宋体" w:hAnsi="宋体" w:cs="宋体"/>
                <w:szCs w:val="21"/>
              </w:rPr>
            </w:pPr>
            <w:r>
              <w:rPr>
                <w:rFonts w:ascii="仿宋" w:eastAsia="仿宋" w:hAnsi="仿宋" w:cs="宋体" w:hint="eastAsia"/>
                <w:b/>
                <w:bCs/>
                <w:color w:val="333333"/>
                <w:kern w:val="0"/>
                <w:sz w:val="24"/>
                <w:szCs w:val="24"/>
              </w:rPr>
              <w:t>通用水泥</w:t>
            </w:r>
            <w:r>
              <w:rPr>
                <w:rFonts w:ascii="仿宋" w:eastAsia="仿宋" w:hAnsi="仿宋" w:cs="宋体" w:hint="eastAsia"/>
                <w:b/>
                <w:bCs/>
                <w:color w:val="333333"/>
                <w:kern w:val="0"/>
                <w:sz w:val="24"/>
                <w:szCs w:val="24"/>
              </w:rPr>
              <w:t>（</w:t>
            </w:r>
            <w:r>
              <w:rPr>
                <w:rFonts w:ascii="仿宋" w:eastAsia="仿宋" w:hAnsi="仿宋" w:cs="宋体" w:hint="eastAsia"/>
                <w:b/>
                <w:bCs/>
                <w:color w:val="333333"/>
                <w:kern w:val="0"/>
                <w:sz w:val="24"/>
                <w:szCs w:val="24"/>
              </w:rPr>
              <w:t>下游）</w:t>
            </w:r>
            <w:r>
              <w:rPr>
                <w:rFonts w:ascii="仿宋" w:eastAsia="仿宋" w:hAnsi="仿宋" w:cs="宋体" w:hint="eastAsia"/>
                <w:b/>
                <w:bCs/>
                <w:color w:val="333333"/>
                <w:kern w:val="0"/>
                <w:sz w:val="24"/>
                <w:szCs w:val="24"/>
              </w:rPr>
              <w:t>地域范围：</w:t>
            </w:r>
            <w:r>
              <w:rPr>
                <w:rFonts w:ascii="仿宋" w:eastAsia="仿宋" w:hAnsi="仿宋" w:cs="宋体" w:hint="eastAsia"/>
                <w:color w:val="333333"/>
                <w:kern w:val="0"/>
                <w:sz w:val="24"/>
                <w:szCs w:val="24"/>
              </w:rPr>
              <w:t>安徽省马鞍山市含山县为中心的</w:t>
            </w:r>
            <w:r>
              <w:rPr>
                <w:rFonts w:ascii="仿宋" w:eastAsia="仿宋" w:hAnsi="仿宋" w:cs="宋体" w:hint="eastAsia"/>
                <w:color w:val="333333"/>
                <w:kern w:val="0"/>
                <w:sz w:val="24"/>
                <w:szCs w:val="24"/>
              </w:rPr>
              <w:t>2</w:t>
            </w:r>
            <w:r>
              <w:rPr>
                <w:rFonts w:ascii="仿宋" w:eastAsia="仿宋" w:hAnsi="仿宋" w:cs="宋体"/>
                <w:color w:val="333333"/>
                <w:kern w:val="0"/>
                <w:sz w:val="24"/>
                <w:szCs w:val="24"/>
              </w:rPr>
              <w:t>00</w:t>
            </w:r>
            <w:r>
              <w:rPr>
                <w:rFonts w:ascii="仿宋" w:eastAsia="仿宋" w:hAnsi="仿宋" w:cs="宋体" w:hint="eastAsia"/>
                <w:color w:val="333333"/>
                <w:kern w:val="0"/>
                <w:sz w:val="24"/>
                <w:szCs w:val="24"/>
              </w:rPr>
              <w:t>公里半径区域内中国铁路物资集团有限公司下属的安徽铁鹏水泥有限公司</w:t>
            </w:r>
            <w:r>
              <w:rPr>
                <w:rFonts w:ascii="仿宋" w:eastAsia="仿宋" w:hAnsi="仿宋" w:cs="宋体" w:hint="eastAsia"/>
                <w:color w:val="333333"/>
                <w:kern w:val="0"/>
                <w:sz w:val="24"/>
                <w:szCs w:val="24"/>
              </w:rPr>
              <w:t xml:space="preserve"> </w:t>
            </w:r>
            <w:r>
              <w:rPr>
                <w:rFonts w:ascii="仿宋" w:eastAsia="仿宋" w:hAnsi="仿宋" w:cs="宋体"/>
                <w:color w:val="333333"/>
                <w:kern w:val="0"/>
                <w:sz w:val="24"/>
                <w:szCs w:val="24"/>
              </w:rPr>
              <w:t>2017</w:t>
            </w:r>
            <w:r>
              <w:rPr>
                <w:rFonts w:ascii="仿宋" w:eastAsia="仿宋" w:hAnsi="仿宋" w:cs="宋体" w:hint="eastAsia"/>
                <w:color w:val="333333"/>
                <w:kern w:val="0"/>
                <w:sz w:val="24"/>
                <w:szCs w:val="24"/>
              </w:rPr>
              <w:t>年市场份额【</w:t>
            </w:r>
            <w:r>
              <w:rPr>
                <w:rFonts w:ascii="仿宋" w:eastAsia="仿宋" w:hAnsi="仿宋" w:cs="宋体" w:hint="eastAsia"/>
                <w:color w:val="333333"/>
                <w:kern w:val="0"/>
                <w:sz w:val="24"/>
                <w:szCs w:val="24"/>
              </w:rPr>
              <w:t>1</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20</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w:t>
            </w:r>
          </w:p>
          <w:p w:rsidR="006B5C66" w:rsidRDefault="006852F5">
            <w:pPr>
              <w:numPr>
                <w:ilvl w:val="0"/>
                <w:numId w:val="1"/>
              </w:numPr>
              <w:spacing w:line="500" w:lineRule="exact"/>
              <w:rPr>
                <w:rFonts w:ascii="仿宋" w:eastAsia="仿宋" w:hAnsi="仿宋" w:cs="宋体"/>
                <w:color w:val="333333"/>
                <w:kern w:val="0"/>
                <w:sz w:val="24"/>
                <w:szCs w:val="24"/>
              </w:rPr>
            </w:pPr>
            <w:r>
              <w:rPr>
                <w:rFonts w:ascii="仿宋" w:eastAsia="仿宋" w:hAnsi="仿宋" w:cs="宋体" w:hint="eastAsia"/>
                <w:b/>
                <w:bCs/>
                <w:color w:val="333333"/>
                <w:kern w:val="0"/>
                <w:sz w:val="24"/>
                <w:szCs w:val="24"/>
              </w:rPr>
              <w:t>预应力钢筒混凝土管（</w:t>
            </w:r>
            <w:r>
              <w:rPr>
                <w:rFonts w:ascii="仿宋" w:eastAsia="仿宋" w:hAnsi="仿宋" w:cs="宋体" w:hint="eastAsia"/>
                <w:b/>
                <w:bCs/>
                <w:color w:val="333333"/>
                <w:kern w:val="0"/>
                <w:sz w:val="24"/>
                <w:szCs w:val="24"/>
              </w:rPr>
              <w:t>PCCP</w:t>
            </w:r>
            <w:r>
              <w:rPr>
                <w:rFonts w:ascii="仿宋" w:eastAsia="仿宋" w:hAnsi="仿宋" w:cs="宋体" w:hint="eastAsia"/>
                <w:b/>
                <w:bCs/>
                <w:color w:val="333333"/>
                <w:kern w:val="0"/>
                <w:sz w:val="24"/>
                <w:szCs w:val="24"/>
              </w:rPr>
              <w:t>）地域范围：</w:t>
            </w:r>
            <w:r>
              <w:rPr>
                <w:rFonts w:ascii="仿宋" w:eastAsia="仿宋" w:hAnsi="仿宋" w:cs="宋体" w:hint="eastAsia"/>
                <w:color w:val="333333"/>
                <w:kern w:val="0"/>
                <w:sz w:val="24"/>
                <w:szCs w:val="24"/>
              </w:rPr>
              <w:t>全国</w:t>
            </w:r>
          </w:p>
          <w:p w:rsidR="006B5C66" w:rsidRDefault="006852F5">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新疆天山建材（集团）有限责任公司参股的新疆国统管道股份有限公司</w:t>
            </w:r>
            <w:r>
              <w:rPr>
                <w:rFonts w:ascii="仿宋" w:eastAsia="仿宋" w:hAnsi="仿宋" w:cs="宋体" w:hint="eastAsia"/>
                <w:color w:val="333333"/>
                <w:kern w:val="0"/>
                <w:sz w:val="24"/>
                <w:szCs w:val="24"/>
              </w:rPr>
              <w:t>在全国范围内参与招投标项目</w:t>
            </w:r>
            <w:r>
              <w:rPr>
                <w:rFonts w:ascii="仿宋" w:eastAsia="仿宋" w:hAnsi="仿宋" w:cs="宋体" w:hint="eastAsia"/>
                <w:color w:val="333333"/>
                <w:kern w:val="0"/>
                <w:sz w:val="24"/>
                <w:szCs w:val="24"/>
              </w:rPr>
              <w:t xml:space="preserve"> </w:t>
            </w:r>
            <w:r>
              <w:rPr>
                <w:rFonts w:ascii="仿宋" w:eastAsia="仿宋" w:hAnsi="仿宋" w:cs="宋体"/>
                <w:color w:val="333333"/>
                <w:kern w:val="0"/>
                <w:sz w:val="24"/>
                <w:szCs w:val="24"/>
              </w:rPr>
              <w:t>2017</w:t>
            </w:r>
            <w:r>
              <w:rPr>
                <w:rFonts w:ascii="仿宋" w:eastAsia="仿宋" w:hAnsi="仿宋" w:cs="宋体" w:hint="eastAsia"/>
                <w:color w:val="333333"/>
                <w:kern w:val="0"/>
                <w:sz w:val="24"/>
                <w:szCs w:val="24"/>
              </w:rPr>
              <w:t>年市场份</w:t>
            </w:r>
            <w:bookmarkStart w:id="0" w:name="_GoBack"/>
            <w:bookmarkEnd w:id="0"/>
            <w:r>
              <w:rPr>
                <w:rFonts w:ascii="仿宋" w:eastAsia="仿宋" w:hAnsi="仿宋" w:cs="宋体" w:hint="eastAsia"/>
                <w:color w:val="333333"/>
                <w:kern w:val="0"/>
                <w:sz w:val="24"/>
                <w:szCs w:val="24"/>
              </w:rPr>
              <w:t>额【</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10</w:t>
            </w:r>
            <w:r>
              <w:rPr>
                <w:rFonts w:ascii="仿宋" w:eastAsia="仿宋" w:hAnsi="仿宋" w:cs="宋体" w:hint="eastAsia"/>
                <w:color w:val="333333"/>
                <w:kern w:val="0"/>
                <w:sz w:val="24"/>
                <w:szCs w:val="24"/>
              </w:rPr>
              <w:t>】</w:t>
            </w:r>
            <w:r>
              <w:rPr>
                <w:rFonts w:ascii="仿宋" w:eastAsia="仿宋" w:hAnsi="仿宋" w:cs="宋体" w:hint="eastAsia"/>
                <w:color w:val="333333"/>
                <w:kern w:val="0"/>
                <w:sz w:val="24"/>
                <w:szCs w:val="24"/>
              </w:rPr>
              <w:t>%</w:t>
            </w:r>
          </w:p>
        </w:tc>
      </w:tr>
    </w:tbl>
    <w:p w:rsidR="006B5C66" w:rsidRDefault="006B5C66">
      <w:pPr>
        <w:snapToGrid w:val="0"/>
        <w:spacing w:line="240" w:lineRule="exact"/>
        <w:jc w:val="left"/>
        <w:rPr>
          <w:rFonts w:ascii="楷体_GB2312" w:eastAsia="楷体_GB2312" w:hAnsi="宋体"/>
          <w:sz w:val="24"/>
          <w:szCs w:val="24"/>
        </w:rPr>
      </w:pPr>
    </w:p>
    <w:p w:rsidR="006B5C66" w:rsidRDefault="006852F5">
      <w:pPr>
        <w:snapToGrid w:val="0"/>
        <w:jc w:val="left"/>
        <w:rPr>
          <w:rFonts w:ascii="宋体" w:hAnsi="宋体"/>
          <w:sz w:val="24"/>
          <w:szCs w:val="24"/>
        </w:rPr>
      </w:pPr>
      <w:r>
        <w:rPr>
          <w:rFonts w:ascii="宋体" w:hAnsi="宋体" w:hint="eastAsia"/>
          <w:sz w:val="24"/>
          <w:szCs w:val="24"/>
        </w:rPr>
        <w:t>注解：</w:t>
      </w:r>
    </w:p>
    <w:p w:rsidR="006B5C66" w:rsidRDefault="006852F5">
      <w:pPr>
        <w:snapToGrid w:val="0"/>
        <w:ind w:firstLineChars="200" w:firstLine="480"/>
        <w:jc w:val="left"/>
        <w:rPr>
          <w:rFonts w:ascii="宋体" w:hAnsi="宋体"/>
          <w:sz w:val="24"/>
          <w:szCs w:val="24"/>
        </w:rPr>
      </w:pPr>
      <w:r>
        <w:rPr>
          <w:rFonts w:ascii="宋体" w:hAnsi="宋体" w:hint="eastAsia"/>
          <w:sz w:val="24"/>
          <w:szCs w:val="24"/>
        </w:rPr>
        <w:t>1.</w:t>
      </w:r>
      <w:r>
        <w:rPr>
          <w:rFonts w:ascii="宋体" w:hAnsi="宋体" w:hint="eastAsia"/>
          <w:sz w:val="24"/>
          <w:szCs w:val="24"/>
        </w:rPr>
        <w:t>申报方申请简易案件的理由是基于</w:t>
      </w:r>
      <w:r>
        <w:rPr>
          <w:rFonts w:ascii="宋体" w:hAnsi="宋体" w:hint="eastAsia"/>
          <w:sz w:val="24"/>
          <w:szCs w:val="24"/>
        </w:rPr>
        <w:t>1-3</w:t>
      </w:r>
      <w:r>
        <w:rPr>
          <w:rFonts w:ascii="宋体" w:hAnsi="宋体" w:hint="eastAsia"/>
          <w:sz w:val="24"/>
          <w:szCs w:val="24"/>
        </w:rPr>
        <w:t>项时，须在备注中说明界定的相关商品市场和相关地域市场（无须阐述界定理由），以及相关市场份额；市场份额可以区间形式提供，区间幅度不应超过</w:t>
      </w:r>
      <w:r>
        <w:rPr>
          <w:rFonts w:ascii="宋体" w:hAnsi="宋体" w:hint="eastAsia"/>
          <w:sz w:val="24"/>
          <w:szCs w:val="24"/>
        </w:rPr>
        <w:t>5%</w:t>
      </w:r>
      <w:r>
        <w:rPr>
          <w:rFonts w:ascii="宋体" w:hAnsi="宋体" w:hint="eastAsia"/>
          <w:sz w:val="24"/>
          <w:szCs w:val="24"/>
        </w:rPr>
        <w:t>。</w:t>
      </w:r>
      <w:r>
        <w:rPr>
          <w:rFonts w:ascii="宋体" w:hAnsi="宋体" w:hint="eastAsia"/>
          <w:sz w:val="24"/>
          <w:szCs w:val="24"/>
        </w:rPr>
        <w:t>1-3</w:t>
      </w:r>
      <w:r>
        <w:rPr>
          <w:rFonts w:ascii="宋体" w:hAnsi="宋体" w:hint="eastAsia"/>
          <w:sz w:val="24"/>
          <w:szCs w:val="24"/>
        </w:rPr>
        <w:t>项可以多选，也可单选；没有勾选的，视为本集中不涉及该类型交易。</w:t>
      </w:r>
    </w:p>
    <w:p w:rsidR="006B5C66" w:rsidRDefault="006852F5">
      <w:pPr>
        <w:ind w:firstLineChars="200" w:firstLine="480"/>
        <w:rPr>
          <w:rFonts w:ascii="宋体" w:hAnsi="宋体"/>
          <w:sz w:val="28"/>
          <w:szCs w:val="28"/>
        </w:rPr>
      </w:pPr>
      <w:r>
        <w:rPr>
          <w:rFonts w:ascii="宋体" w:hAnsi="宋体" w:hint="eastAsia"/>
          <w:sz w:val="24"/>
          <w:szCs w:val="24"/>
        </w:rPr>
        <w:t>2.</w:t>
      </w:r>
      <w:r>
        <w:rPr>
          <w:rFonts w:ascii="宋体" w:hAnsi="宋体" w:hint="eastAsia"/>
          <w:sz w:val="24"/>
          <w:szCs w:val="24"/>
        </w:rPr>
        <w:t>申报方申请简易案件的理由是基于第</w:t>
      </w:r>
      <w:r>
        <w:rPr>
          <w:rFonts w:ascii="宋体" w:hAnsi="宋体" w:hint="eastAsia"/>
          <w:sz w:val="24"/>
          <w:szCs w:val="24"/>
        </w:rPr>
        <w:t>4</w:t>
      </w:r>
      <w:r>
        <w:rPr>
          <w:rFonts w:ascii="宋体" w:hAnsi="宋体" w:hint="eastAsia"/>
          <w:sz w:val="24"/>
          <w:szCs w:val="24"/>
        </w:rPr>
        <w:t>项、第</w:t>
      </w:r>
      <w:r>
        <w:rPr>
          <w:rFonts w:ascii="宋体" w:hAnsi="宋体" w:hint="eastAsia"/>
          <w:sz w:val="24"/>
          <w:szCs w:val="24"/>
        </w:rPr>
        <w:t>5</w:t>
      </w:r>
      <w:r>
        <w:rPr>
          <w:rFonts w:ascii="宋体" w:hAnsi="宋体" w:hint="eastAsia"/>
          <w:sz w:val="24"/>
          <w:szCs w:val="24"/>
        </w:rPr>
        <w:t>项时，无须在备注中说明相关市场和市场份额。</w:t>
      </w:r>
      <w:r>
        <w:rPr>
          <w:rFonts w:ascii="宋体" w:hAnsi="宋体" w:hint="eastAsia"/>
          <w:sz w:val="24"/>
          <w:szCs w:val="24"/>
        </w:rPr>
        <w:br/>
      </w:r>
      <w:r>
        <w:rPr>
          <w:rFonts w:ascii="宋体" w:hAnsi="宋体" w:hint="eastAsia"/>
          <w:sz w:val="24"/>
          <w:szCs w:val="24"/>
        </w:rPr>
        <w:t xml:space="preserve">    3.</w:t>
      </w:r>
      <w:r>
        <w:rPr>
          <w:rFonts w:ascii="宋体"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w:t>
      </w:r>
      <w:r>
        <w:rPr>
          <w:rFonts w:ascii="宋体" w:hAnsi="宋体" w:hint="eastAsia"/>
          <w:sz w:val="24"/>
          <w:szCs w:val="24"/>
        </w:rPr>
        <w:t>1</w:t>
      </w:r>
      <w:r>
        <w:rPr>
          <w:rFonts w:ascii="宋体" w:hAnsi="宋体" w:hint="eastAsia"/>
          <w:sz w:val="24"/>
          <w:szCs w:val="24"/>
        </w:rPr>
        <w:t>项和第</w:t>
      </w:r>
      <w:r>
        <w:rPr>
          <w:rFonts w:ascii="宋体" w:hAnsi="宋体" w:hint="eastAsia"/>
          <w:sz w:val="24"/>
          <w:szCs w:val="24"/>
        </w:rPr>
        <w:t>6</w:t>
      </w:r>
      <w:r>
        <w:rPr>
          <w:rFonts w:ascii="宋体" w:hAnsi="宋体" w:hint="eastAsia"/>
          <w:sz w:val="24"/>
          <w:szCs w:val="24"/>
        </w:rPr>
        <w:t>项理由，并在备注中说明界定的相关商品市场和相关地域市场（无须阐述界定理由），以及相关市场份额。市场份额可以区间形式提供，区间幅度不应超过</w:t>
      </w:r>
      <w:r>
        <w:rPr>
          <w:rFonts w:ascii="宋体" w:hAnsi="宋体" w:hint="eastAsia"/>
          <w:sz w:val="24"/>
          <w:szCs w:val="24"/>
        </w:rPr>
        <w:t>5%</w:t>
      </w:r>
      <w:r>
        <w:rPr>
          <w:rFonts w:ascii="宋体" w:hAnsi="宋体" w:hint="eastAsia"/>
          <w:sz w:val="24"/>
          <w:szCs w:val="24"/>
        </w:rPr>
        <w:t>。</w:t>
      </w:r>
    </w:p>
    <w:p w:rsidR="006B5C66" w:rsidRDefault="006B5C66"/>
    <w:p w:rsidR="006B5C66" w:rsidRDefault="006B5C66"/>
    <w:sectPr w:rsidR="006B5C66" w:rsidSect="006B5C6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52F5" w:rsidRDefault="006852F5" w:rsidP="00D90CCD">
      <w:r>
        <w:separator/>
      </w:r>
    </w:p>
  </w:endnote>
  <w:endnote w:type="continuationSeparator" w:id="1">
    <w:p w:rsidR="006852F5" w:rsidRDefault="006852F5" w:rsidP="00D90CC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楷体"/>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52F5" w:rsidRDefault="006852F5" w:rsidP="00D90CCD">
      <w:r>
        <w:separator/>
      </w:r>
    </w:p>
  </w:footnote>
  <w:footnote w:type="continuationSeparator" w:id="1">
    <w:p w:rsidR="006852F5" w:rsidRDefault="006852F5" w:rsidP="00D90CC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61EA83"/>
    <w:multiLevelType w:val="singleLevel"/>
    <w:tmpl w:val="3D61EA83"/>
    <w:lvl w:ilvl="0">
      <w:start w:val="1"/>
      <w:numFmt w:val="bullet"/>
      <w:lvlText w:val=""/>
      <w:lvlJc w:val="left"/>
      <w:pPr>
        <w:ind w:left="420" w:hanging="42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00DF"/>
    <w:rsid w:val="00037065"/>
    <w:rsid w:val="000D7EBA"/>
    <w:rsid w:val="001164CD"/>
    <w:rsid w:val="00155717"/>
    <w:rsid w:val="001837A3"/>
    <w:rsid w:val="001A3ACA"/>
    <w:rsid w:val="003C0AEB"/>
    <w:rsid w:val="003F3FEC"/>
    <w:rsid w:val="00492911"/>
    <w:rsid w:val="004F7688"/>
    <w:rsid w:val="006467D8"/>
    <w:rsid w:val="006852F5"/>
    <w:rsid w:val="006A531B"/>
    <w:rsid w:val="006B5C66"/>
    <w:rsid w:val="006C3814"/>
    <w:rsid w:val="006F7693"/>
    <w:rsid w:val="00710140"/>
    <w:rsid w:val="00782D99"/>
    <w:rsid w:val="007F2275"/>
    <w:rsid w:val="00915F0F"/>
    <w:rsid w:val="009532DF"/>
    <w:rsid w:val="00991209"/>
    <w:rsid w:val="00992BE1"/>
    <w:rsid w:val="00997019"/>
    <w:rsid w:val="009A5029"/>
    <w:rsid w:val="009D38D5"/>
    <w:rsid w:val="00A53F26"/>
    <w:rsid w:val="00AA0CC5"/>
    <w:rsid w:val="00B16AFE"/>
    <w:rsid w:val="00B65DD5"/>
    <w:rsid w:val="00BD10B6"/>
    <w:rsid w:val="00C07076"/>
    <w:rsid w:val="00CB00DF"/>
    <w:rsid w:val="00D73C72"/>
    <w:rsid w:val="00D90CCD"/>
    <w:rsid w:val="00E0592B"/>
    <w:rsid w:val="00E31738"/>
    <w:rsid w:val="00E86786"/>
    <w:rsid w:val="00ED2F80"/>
    <w:rsid w:val="00F1624E"/>
    <w:rsid w:val="00F32F8A"/>
    <w:rsid w:val="00F810AA"/>
    <w:rsid w:val="00FB43EC"/>
    <w:rsid w:val="00FB6B40"/>
    <w:rsid w:val="14763059"/>
    <w:rsid w:val="173338F4"/>
    <w:rsid w:val="1FF449E3"/>
    <w:rsid w:val="445332FC"/>
    <w:rsid w:val="46E41720"/>
    <w:rsid w:val="4CC2076F"/>
    <w:rsid w:val="67105801"/>
    <w:rsid w:val="75B2239B"/>
    <w:rsid w:val="7ED91527"/>
    <w:rsid w:val="7F37719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5C66"/>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6B5C66"/>
    <w:pPr>
      <w:tabs>
        <w:tab w:val="center" w:pos="4153"/>
        <w:tab w:val="right" w:pos="8306"/>
      </w:tabs>
      <w:snapToGrid w:val="0"/>
      <w:jc w:val="left"/>
    </w:pPr>
    <w:rPr>
      <w:sz w:val="18"/>
      <w:szCs w:val="18"/>
    </w:rPr>
  </w:style>
  <w:style w:type="paragraph" w:styleId="a4">
    <w:name w:val="header"/>
    <w:basedOn w:val="a"/>
    <w:link w:val="Char0"/>
    <w:uiPriority w:val="99"/>
    <w:unhideWhenUsed/>
    <w:qFormat/>
    <w:rsid w:val="006B5C6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6B5C66"/>
    <w:rPr>
      <w:rFonts w:ascii="Calibri" w:eastAsia="宋体" w:hAnsi="Calibri" w:cs="Times New Roman"/>
      <w:sz w:val="18"/>
      <w:szCs w:val="18"/>
    </w:rPr>
  </w:style>
  <w:style w:type="character" w:customStyle="1" w:styleId="Char">
    <w:name w:val="页脚 Char"/>
    <w:basedOn w:val="a0"/>
    <w:link w:val="a3"/>
    <w:uiPriority w:val="99"/>
    <w:rsid w:val="006B5C66"/>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竞争执法局</cp:lastModifiedBy>
  <cp:revision>8</cp:revision>
  <dcterms:created xsi:type="dcterms:W3CDTF">2018-09-29T02:33:00Z</dcterms:created>
  <dcterms:modified xsi:type="dcterms:W3CDTF">2018-11-13T08:56:00Z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