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582733" w:rsidRDefault="00094095" w:rsidP="00094095">
      <w:pPr>
        <w:spacing w:line="440" w:lineRule="exact"/>
        <w:jc w:val="center"/>
        <w:rPr>
          <w:rFonts w:ascii="Times New Roman" w:eastAsia="楷体_GB2312" w:hAnsi="Times New Roman"/>
          <w:sz w:val="32"/>
          <w:szCs w:val="28"/>
        </w:rPr>
      </w:pPr>
      <w:r w:rsidRPr="00582733">
        <w:rPr>
          <w:rFonts w:ascii="Times New Roman" w:eastAsia="楷体_GB2312" w:hAnsi="Times New Roman" w:hint="eastAsia"/>
          <w:sz w:val="32"/>
          <w:szCs w:val="28"/>
        </w:rPr>
        <w:t>经营者集中简易案件公示表</w:t>
      </w:r>
    </w:p>
    <w:p w:rsidR="00094095" w:rsidRPr="00582733" w:rsidRDefault="00094095" w:rsidP="00094095">
      <w:pPr>
        <w:spacing w:line="440" w:lineRule="exact"/>
        <w:rPr>
          <w:rFonts w:ascii="Times New Roman" w:eastAsia="楷体_GB2312" w:hAnsi="Times New Roman"/>
          <w:sz w:val="28"/>
          <w:szCs w:val="28"/>
        </w:rPr>
      </w:pPr>
    </w:p>
    <w:p w:rsidR="00094095" w:rsidRPr="00582733" w:rsidRDefault="00094095" w:rsidP="00094095">
      <w:pPr>
        <w:spacing w:line="440" w:lineRule="exact"/>
        <w:ind w:firstLineChars="302" w:firstLine="846"/>
        <w:rPr>
          <w:rFonts w:ascii="Times New Roman" w:eastAsia="楷体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DB6DC6" w:rsidRPr="007E3F1E" w:rsidTr="00DC5EFC">
        <w:tc>
          <w:tcPr>
            <w:tcW w:w="1809" w:type="dxa"/>
            <w:shd w:val="clear" w:color="auto" w:fill="D9D9D9"/>
          </w:tcPr>
          <w:p w:rsidR="00DB6DC6" w:rsidRPr="00582733" w:rsidRDefault="00DB6DC6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DB6DC6" w:rsidRPr="00582733" w:rsidRDefault="007E3F1E" w:rsidP="00230096">
            <w:pPr>
              <w:snapToGrid w:val="0"/>
              <w:rPr>
                <w:rFonts w:ascii="Times New Roman" w:eastAsia="楷体_GB2312" w:hAnsi="Times New Roman"/>
                <w:sz w:val="28"/>
                <w:szCs w:val="28"/>
              </w:rPr>
            </w:pPr>
            <w:bookmarkStart w:id="0" w:name="_GoBack"/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三菱商事株式会社收购东洋橡胶工业株式会社股权案</w:t>
            </w:r>
            <w:bookmarkEnd w:id="0"/>
          </w:p>
        </w:tc>
      </w:tr>
      <w:tr w:rsidR="00094095" w:rsidRPr="007E3F1E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582733" w:rsidRDefault="00094095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交易概况（限</w:t>
            </w:r>
            <w:r w:rsidRPr="00582733">
              <w:rPr>
                <w:rFonts w:ascii="Times New Roman" w:eastAsia="楷体_GB2312" w:hAnsi="Times New Roman"/>
                <w:sz w:val="28"/>
                <w:szCs w:val="28"/>
              </w:rPr>
              <w:t>200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582733" w:rsidRDefault="00E26AF2" w:rsidP="006C4F9A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>
              <w:rPr>
                <w:rFonts w:ascii="Times New Roman" w:eastAsia="楷体_GB2312" w:hAnsi="Times New Roman" w:hint="eastAsia"/>
                <w:sz w:val="28"/>
                <w:szCs w:val="28"/>
              </w:rPr>
              <w:t>在</w:t>
            </w:r>
            <w:r>
              <w:rPr>
                <w:rFonts w:ascii="Times New Roman" w:eastAsia="楷体_GB2312" w:hAnsi="Times New Roman"/>
                <w:sz w:val="28"/>
                <w:szCs w:val="28"/>
              </w:rPr>
              <w:t>本交易中，</w:t>
            </w:r>
            <w:r w:rsidR="007E3F1E" w:rsidRPr="00CA482B">
              <w:rPr>
                <w:rFonts w:ascii="Times New Roman" w:eastAsia="楷体_GB2312" w:hAnsi="Times New Roman"/>
                <w:sz w:val="28"/>
                <w:szCs w:val="28"/>
              </w:rPr>
              <w:t>三菱商事株式会社</w:t>
            </w:r>
            <w:r w:rsidR="007E3F1E">
              <w:rPr>
                <w:rFonts w:ascii="Times New Roman" w:eastAsia="楷体_GB2312" w:hAnsi="Times New Roman" w:hint="eastAsia"/>
                <w:sz w:val="28"/>
                <w:szCs w:val="28"/>
              </w:rPr>
              <w:t>（以下</w:t>
            </w:r>
            <w:r w:rsidR="007E3F1E">
              <w:rPr>
                <w:rFonts w:ascii="Times New Roman" w:eastAsia="楷体_GB2312" w:hAnsi="Times New Roman"/>
                <w:sz w:val="28"/>
                <w:szCs w:val="28"/>
              </w:rPr>
              <w:t>简称</w:t>
            </w:r>
            <w:r w:rsidR="007E3F1E">
              <w:rPr>
                <w:rFonts w:ascii="Times New Roman" w:eastAsia="楷体_GB2312" w:hAnsi="Times New Roman"/>
                <w:sz w:val="28"/>
                <w:szCs w:val="28"/>
              </w:rPr>
              <w:t>“</w:t>
            </w:r>
            <w:r w:rsidR="007E3F1E">
              <w:rPr>
                <w:rFonts w:ascii="Times New Roman" w:eastAsia="楷体_GB2312" w:hAnsi="Times New Roman" w:hint="eastAsia"/>
                <w:sz w:val="28"/>
                <w:szCs w:val="28"/>
              </w:rPr>
              <w:t>三菱商事</w:t>
            </w:r>
            <w:r w:rsidR="007E3F1E">
              <w:rPr>
                <w:rFonts w:ascii="Times New Roman" w:eastAsia="楷体_GB2312" w:hAnsi="Times New Roman"/>
                <w:sz w:val="28"/>
                <w:szCs w:val="28"/>
              </w:rPr>
              <w:t>”</w:t>
            </w:r>
            <w:r w:rsidR="007E3F1E">
              <w:rPr>
                <w:rFonts w:ascii="Times New Roman" w:eastAsia="楷体_GB2312" w:hAnsi="Times New Roman"/>
                <w:sz w:val="28"/>
                <w:szCs w:val="28"/>
              </w:rPr>
              <w:t>）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将以</w:t>
            </w:r>
            <w:r>
              <w:rPr>
                <w:rFonts w:ascii="Times New Roman" w:eastAsia="楷体_GB2312" w:hAnsi="Times New Roman" w:hint="eastAsia"/>
                <w:sz w:val="28"/>
                <w:szCs w:val="28"/>
              </w:rPr>
              <w:t>现金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认购</w:t>
            </w:r>
            <w:r w:rsidRPr="00CA482B">
              <w:rPr>
                <w:rFonts w:ascii="Times New Roman" w:eastAsia="楷体_GB2312" w:hAnsi="Times New Roman"/>
                <w:sz w:val="28"/>
                <w:szCs w:val="28"/>
              </w:rPr>
              <w:t>东洋橡胶工业株式会社</w:t>
            </w:r>
            <w:r>
              <w:rPr>
                <w:rFonts w:ascii="Times New Roman" w:eastAsia="楷体_GB2312" w:hAnsi="Times New Roman" w:hint="eastAsia"/>
                <w:sz w:val="28"/>
                <w:szCs w:val="28"/>
              </w:rPr>
              <w:t>（</w:t>
            </w:r>
            <w:r>
              <w:rPr>
                <w:rFonts w:ascii="Times New Roman" w:eastAsia="楷体_GB2312" w:hAnsi="Times New Roman"/>
                <w:sz w:val="28"/>
                <w:szCs w:val="28"/>
              </w:rPr>
              <w:t>以下简称</w:t>
            </w:r>
            <w:r>
              <w:rPr>
                <w:rFonts w:ascii="Times New Roman" w:eastAsia="楷体_GB2312" w:hAnsi="Times New Roman"/>
                <w:sz w:val="28"/>
                <w:szCs w:val="28"/>
              </w:rPr>
              <w:t>“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东洋橡胶</w:t>
            </w:r>
            <w:r>
              <w:rPr>
                <w:rFonts w:ascii="Times New Roman" w:eastAsia="楷体_GB2312" w:hAnsi="Times New Roman"/>
                <w:sz w:val="28"/>
                <w:szCs w:val="28"/>
              </w:rPr>
              <w:t>”</w:t>
            </w:r>
            <w:r>
              <w:rPr>
                <w:rFonts w:ascii="Times New Roman" w:eastAsia="楷体_GB2312" w:hAnsi="Times New Roman" w:hint="eastAsia"/>
                <w:sz w:val="28"/>
                <w:szCs w:val="28"/>
              </w:rPr>
              <w:t>）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新发行的普通股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2693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万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1956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股，其对东洋橡胶的持股比例将由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3.05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％增加至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20.00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％</w:t>
            </w:r>
            <w:r>
              <w:rPr>
                <w:rFonts w:ascii="Times New Roman" w:eastAsia="楷体_GB2312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楷体_GB2312" w:hAnsi="Times New Roman"/>
                <w:sz w:val="28"/>
                <w:szCs w:val="28"/>
              </w:rPr>
              <w:t>成为东洋橡胶的第一个</w:t>
            </w:r>
            <w:r>
              <w:rPr>
                <w:rFonts w:ascii="Times New Roman" w:eastAsia="楷体_GB2312" w:hAnsi="Times New Roman" w:hint="eastAsia"/>
                <w:sz w:val="28"/>
                <w:szCs w:val="28"/>
              </w:rPr>
              <w:t>大</w:t>
            </w:r>
            <w:r>
              <w:rPr>
                <w:rFonts w:ascii="Times New Roman" w:eastAsia="楷体_GB2312" w:hAnsi="Times New Roman"/>
                <w:sz w:val="28"/>
                <w:szCs w:val="28"/>
              </w:rPr>
              <w:t>股东。</w:t>
            </w:r>
            <w:r>
              <w:rPr>
                <w:rFonts w:ascii="Times New Roman" w:eastAsia="楷体_GB2312" w:hAnsi="Times New Roman" w:hint="eastAsia"/>
                <w:sz w:val="28"/>
                <w:szCs w:val="28"/>
              </w:rPr>
              <w:t>同时</w:t>
            </w:r>
            <w:r>
              <w:rPr>
                <w:rFonts w:ascii="Times New Roman" w:eastAsia="楷体_GB2312" w:hAnsi="Times New Roman"/>
                <w:sz w:val="28"/>
                <w:szCs w:val="28"/>
              </w:rPr>
              <w:t>三菱商事还会向东洋橡胶委派</w:t>
            </w:r>
            <w:r>
              <w:rPr>
                <w:rFonts w:ascii="Times New Roman" w:eastAsia="楷体_GB2312" w:hAnsi="Times New Roman" w:hint="eastAsia"/>
                <w:sz w:val="28"/>
                <w:szCs w:val="28"/>
              </w:rPr>
              <w:t>董事</w:t>
            </w:r>
            <w:r>
              <w:rPr>
                <w:rFonts w:ascii="Times New Roman" w:eastAsia="楷体_GB2312" w:hAnsi="Times New Roman"/>
                <w:sz w:val="28"/>
                <w:szCs w:val="28"/>
              </w:rPr>
              <w:t>与员工。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在</w:t>
            </w:r>
            <w:r w:rsidR="00F36D88">
              <w:rPr>
                <w:rFonts w:ascii="Times New Roman" w:eastAsia="楷体_GB2312" w:hAnsi="Times New Roman" w:hint="eastAsia"/>
                <w:sz w:val="28"/>
                <w:szCs w:val="28"/>
              </w:rPr>
              <w:t>本</w:t>
            </w:r>
            <w:r w:rsidRPr="00E26AF2">
              <w:rPr>
                <w:rFonts w:ascii="Times New Roman" w:eastAsia="楷体_GB2312" w:hAnsi="Times New Roman" w:hint="eastAsia"/>
                <w:sz w:val="28"/>
                <w:szCs w:val="28"/>
              </w:rPr>
              <w:t>交易后，三菱商事可能对东洋橡胶施加决定性影响。</w:t>
            </w:r>
          </w:p>
        </w:tc>
      </w:tr>
      <w:tr w:rsidR="005C55F7" w:rsidRPr="007E3F1E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5C55F7" w:rsidRPr="00582733" w:rsidRDefault="005C55F7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5C55F7" w:rsidRPr="00582733" w:rsidRDefault="005C55F7" w:rsidP="00DC5EFC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/>
                <w:sz w:val="28"/>
                <w:szCs w:val="28"/>
              </w:rPr>
              <w:t>1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、三菱商事</w:t>
            </w:r>
          </w:p>
        </w:tc>
        <w:tc>
          <w:tcPr>
            <w:tcW w:w="5153" w:type="dxa"/>
          </w:tcPr>
          <w:p w:rsidR="005C55F7" w:rsidRPr="00582733" w:rsidRDefault="005C55F7" w:rsidP="00DC5EFC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三菱商事是日本大型综合贸易公司之一，在全球大约</w:t>
            </w:r>
            <w:r w:rsidRPr="00582733">
              <w:rPr>
                <w:rFonts w:ascii="Times New Roman" w:eastAsia="楷体_GB2312" w:hAnsi="Times New Roman"/>
                <w:sz w:val="28"/>
                <w:szCs w:val="28"/>
              </w:rPr>
              <w:t>90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个国家拥有</w:t>
            </w:r>
            <w:r w:rsidRPr="00582733">
              <w:rPr>
                <w:rFonts w:ascii="Times New Roman" w:eastAsia="楷体_GB2312" w:hAnsi="Times New Roman"/>
                <w:sz w:val="28"/>
                <w:szCs w:val="28"/>
              </w:rPr>
              <w:t>200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多个分支机构。公司长期与各方合作伙伴在能源事业、金属、</w:t>
            </w:r>
            <w:r w:rsidR="00F11B05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基础建设、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机械、化学品、生活产业</w:t>
            </w:r>
            <w:r w:rsidR="00F11B05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、产业金融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等领域积极开展贸易活动等。</w:t>
            </w:r>
          </w:p>
        </w:tc>
      </w:tr>
      <w:tr w:rsidR="005C55F7" w:rsidRPr="007E3F1E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5C55F7" w:rsidRPr="00582733" w:rsidRDefault="005C55F7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5C55F7" w:rsidRPr="00582733" w:rsidRDefault="005C55F7" w:rsidP="007E3F1E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/>
                <w:sz w:val="28"/>
                <w:szCs w:val="28"/>
              </w:rPr>
              <w:t>2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、</w:t>
            </w:r>
            <w:r w:rsidR="007E3F1E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东洋橡胶</w:t>
            </w:r>
          </w:p>
        </w:tc>
        <w:tc>
          <w:tcPr>
            <w:tcW w:w="5153" w:type="dxa"/>
          </w:tcPr>
          <w:p w:rsidR="005C55F7" w:rsidRPr="00582733" w:rsidRDefault="0065283C" w:rsidP="007E3F1E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成立于</w:t>
            </w:r>
            <w:r w:rsidR="007E3F1E" w:rsidRPr="00582733">
              <w:rPr>
                <w:rFonts w:ascii="Times New Roman" w:eastAsia="楷体_GB2312" w:hAnsi="Times New Roman"/>
                <w:sz w:val="28"/>
                <w:szCs w:val="28"/>
              </w:rPr>
              <w:t>1945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年</w:t>
            </w:r>
            <w:r w:rsidR="007E3F1E" w:rsidRPr="00582733">
              <w:rPr>
                <w:rFonts w:ascii="Times New Roman" w:eastAsia="楷体_GB2312" w:hAnsi="Times New Roman"/>
                <w:sz w:val="28"/>
                <w:szCs w:val="28"/>
              </w:rPr>
              <w:t>8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月</w:t>
            </w:r>
            <w:r w:rsidR="00E7012A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，</w:t>
            </w:r>
            <w:r w:rsidR="007E3F1E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总部坐落于日本兵库县，是东京证券交易所的上市公司。东洋橡胶在世界范围内从事</w:t>
            </w:r>
            <w:r w:rsidR="007E3F1E" w:rsidRPr="00582733">
              <w:rPr>
                <w:rFonts w:ascii="Times New Roman" w:eastAsia="楷体_GB2312" w:hAnsi="Times New Roman" w:hint="eastAsia"/>
                <w:color w:val="000000"/>
                <w:kern w:val="0"/>
                <w:sz w:val="28"/>
                <w:szCs w:val="28"/>
              </w:rPr>
              <w:t>各种轮胎与轮胎相关产品的生产、销售、研究开发。</w:t>
            </w:r>
          </w:p>
        </w:tc>
      </w:tr>
      <w:tr w:rsidR="005C55F7" w:rsidRPr="007E3F1E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5C55F7" w:rsidRPr="00582733" w:rsidRDefault="005C55F7" w:rsidP="00BB2377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5C55F7" w:rsidRPr="00582733" w:rsidRDefault="007E3F1E" w:rsidP="007E3F1E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/>
                <w:sz w:val="28"/>
                <w:szCs w:val="28"/>
              </w:rPr>
              <w:sym w:font="Wingdings" w:char="F0FE"/>
            </w:r>
            <w:r w:rsidR="005C55F7" w:rsidRPr="00582733">
              <w:rPr>
                <w:rFonts w:ascii="Times New Roman" w:eastAsia="楷体_GB2312" w:hAnsi="Times New Roman"/>
                <w:sz w:val="28"/>
                <w:szCs w:val="28"/>
              </w:rPr>
              <w:t>1</w:t>
            </w:r>
            <w:r w:rsidR="005C55F7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、在同一相关市场，所有参与集中的经营者所占市场份额之和小于</w:t>
            </w:r>
            <w:r w:rsidR="005C55F7" w:rsidRPr="00582733">
              <w:rPr>
                <w:rFonts w:ascii="Times New Roman" w:eastAsia="楷体_GB2312" w:hAnsi="Times New Roman"/>
                <w:sz w:val="28"/>
                <w:szCs w:val="28"/>
              </w:rPr>
              <w:t>15%</w:t>
            </w:r>
            <w:r w:rsidR="005C55F7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。</w:t>
            </w:r>
          </w:p>
        </w:tc>
      </w:tr>
      <w:tr w:rsidR="005C55F7" w:rsidRPr="007E3F1E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5C55F7" w:rsidRPr="00582733" w:rsidRDefault="005C55F7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C55F7" w:rsidRPr="00582733" w:rsidRDefault="005C55F7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□</w:t>
            </w:r>
            <w:r w:rsidRPr="00582733">
              <w:rPr>
                <w:rFonts w:ascii="Times New Roman" w:eastAsia="楷体_GB2312" w:hAnsi="Times New Roman"/>
                <w:sz w:val="28"/>
                <w:szCs w:val="28"/>
              </w:rPr>
              <w:t>2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、存在上下游关系的参与集中的经营者，在上下游市场所占的市场份额均小于</w:t>
            </w:r>
            <w:r w:rsidRPr="00582733">
              <w:rPr>
                <w:rFonts w:ascii="Times New Roman" w:eastAsia="楷体_GB2312" w:hAnsi="Times New Roman"/>
                <w:sz w:val="28"/>
                <w:szCs w:val="28"/>
              </w:rPr>
              <w:t>25%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。</w:t>
            </w:r>
          </w:p>
        </w:tc>
      </w:tr>
      <w:tr w:rsidR="005C55F7" w:rsidRPr="007E3F1E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5C55F7" w:rsidRPr="00582733" w:rsidRDefault="005C55F7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C55F7" w:rsidRPr="00582733" w:rsidRDefault="007E3F1E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□</w:t>
            </w:r>
            <w:r w:rsidR="005C55F7" w:rsidRPr="00582733">
              <w:rPr>
                <w:rFonts w:ascii="Times New Roman" w:eastAsia="楷体_GB2312" w:hAnsi="Times New Roman"/>
                <w:sz w:val="28"/>
                <w:szCs w:val="28"/>
              </w:rPr>
              <w:t>3</w:t>
            </w:r>
            <w:r w:rsidR="005C55F7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5C55F7" w:rsidRPr="00582733">
              <w:rPr>
                <w:rFonts w:ascii="Times New Roman" w:eastAsia="楷体_GB2312" w:hAnsi="Times New Roman"/>
                <w:sz w:val="28"/>
                <w:szCs w:val="28"/>
              </w:rPr>
              <w:t>25%</w:t>
            </w:r>
            <w:r w:rsidR="005C55F7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。</w:t>
            </w:r>
          </w:p>
        </w:tc>
      </w:tr>
      <w:tr w:rsidR="005C55F7" w:rsidRPr="007E3F1E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5C55F7" w:rsidRPr="00582733" w:rsidRDefault="005C55F7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C55F7" w:rsidRPr="00582733" w:rsidRDefault="005C55F7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□</w:t>
            </w:r>
            <w:r w:rsidRPr="00582733">
              <w:rPr>
                <w:rFonts w:ascii="Times New Roman" w:eastAsia="楷体_GB2312" w:hAnsi="Times New Roman"/>
                <w:sz w:val="28"/>
                <w:szCs w:val="28"/>
              </w:rPr>
              <w:t>4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5C55F7" w:rsidRPr="007E3F1E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5C55F7" w:rsidRPr="00582733" w:rsidRDefault="005C55F7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C55F7" w:rsidRPr="00582733" w:rsidRDefault="002A7F22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□</w:t>
            </w:r>
            <w:r w:rsidR="005C55F7" w:rsidRPr="00582733">
              <w:rPr>
                <w:rFonts w:ascii="Times New Roman" w:eastAsia="楷体_GB2312" w:hAnsi="Times New Roman"/>
                <w:sz w:val="28"/>
                <w:szCs w:val="28"/>
              </w:rPr>
              <w:t>5</w:t>
            </w:r>
            <w:r w:rsidR="005C55F7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5C55F7" w:rsidRPr="007E3F1E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5C55F7" w:rsidRPr="00582733" w:rsidRDefault="005C55F7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5C55F7" w:rsidRPr="00582733" w:rsidRDefault="005C55F7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□</w:t>
            </w:r>
            <w:r w:rsidRPr="00582733">
              <w:rPr>
                <w:rFonts w:ascii="Times New Roman" w:eastAsia="楷体_GB2312" w:hAnsi="Times New Roman"/>
                <w:sz w:val="28"/>
                <w:szCs w:val="28"/>
              </w:rPr>
              <w:t>6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5C55F7" w:rsidRPr="007E3F1E" w:rsidTr="002F2D60">
        <w:tc>
          <w:tcPr>
            <w:tcW w:w="1809" w:type="dxa"/>
            <w:shd w:val="clear" w:color="auto" w:fill="D9D9D9"/>
          </w:tcPr>
          <w:p w:rsidR="005C55F7" w:rsidRPr="00582733" w:rsidRDefault="005C55F7" w:rsidP="002F2D60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7D1573" w:rsidRPr="00582733" w:rsidRDefault="007D1573" w:rsidP="007D1573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相关产品市场</w:t>
            </w:r>
            <w:r w:rsidR="007E3F1E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：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（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1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）轿车原装高档轮胎、（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2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）轿车替换高档轮胎、（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3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）轿车原装中低档轮胎、（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4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）轿车替换中低档轮胎、（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5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）轻型</w:t>
            </w:r>
            <w:proofErr w:type="gramStart"/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载重卡客车</w:t>
            </w:r>
            <w:proofErr w:type="gramEnd"/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原装轮胎、（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6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）轻型</w:t>
            </w:r>
            <w:proofErr w:type="gramStart"/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载重卡客车</w:t>
            </w:r>
            <w:proofErr w:type="gramEnd"/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替换轮胎、（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7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）重型</w:t>
            </w:r>
            <w:proofErr w:type="gramStart"/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载重卡客车</w:t>
            </w:r>
            <w:proofErr w:type="gramEnd"/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原装轮胎、（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8</w:t>
            </w:r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）重型</w:t>
            </w:r>
            <w:proofErr w:type="gramStart"/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载重卡客车</w:t>
            </w:r>
            <w:proofErr w:type="gramEnd"/>
            <w:r w:rsidR="00127ED4" w:rsidRPr="00127ED4">
              <w:rPr>
                <w:rFonts w:ascii="Times New Roman" w:eastAsia="楷体_GB2312" w:hAnsi="Times New Roman" w:hint="eastAsia"/>
                <w:sz w:val="28"/>
                <w:szCs w:val="28"/>
              </w:rPr>
              <w:t>替换轮胎</w:t>
            </w:r>
            <w:r w:rsidR="00814100">
              <w:rPr>
                <w:rFonts w:ascii="Times New Roman" w:eastAsia="楷体_GB2312" w:hAnsi="Times New Roman" w:hint="eastAsia"/>
                <w:color w:val="000000"/>
                <w:kern w:val="0"/>
                <w:sz w:val="28"/>
                <w:szCs w:val="28"/>
              </w:rPr>
              <w:t>。</w:t>
            </w:r>
          </w:p>
          <w:p w:rsidR="007D1573" w:rsidRPr="00582733" w:rsidRDefault="007D1573" w:rsidP="007D1573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相关地域市场：</w:t>
            </w:r>
            <w:r w:rsidR="007E3F1E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均为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中国市场</w:t>
            </w:r>
          </w:p>
          <w:p w:rsidR="005C55F7" w:rsidRPr="00582733" w:rsidRDefault="007D1573" w:rsidP="007E3F1E">
            <w:pPr>
              <w:spacing w:line="500" w:lineRule="exact"/>
              <w:rPr>
                <w:rFonts w:ascii="Times New Roman" w:eastAsia="楷体_GB2312" w:hAnsi="Times New Roman"/>
                <w:sz w:val="28"/>
                <w:szCs w:val="28"/>
              </w:rPr>
            </w:pP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市场份额：</w:t>
            </w:r>
            <w:r w:rsidR="003C125A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三菱商事和</w:t>
            </w:r>
            <w:r w:rsidR="007E3F1E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东洋橡胶</w:t>
            </w:r>
            <w:r w:rsidR="003C125A"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合计市场份额为</w:t>
            </w:r>
            <w:r w:rsidR="00C44367" w:rsidRPr="00582733">
              <w:rPr>
                <w:rFonts w:ascii="Times New Roman" w:eastAsia="楷体_GB2312" w:hAnsi="Times New Roman"/>
                <w:sz w:val="28"/>
                <w:szCs w:val="28"/>
              </w:rPr>
              <w:t>0-3</w:t>
            </w:r>
            <w:r w:rsidRPr="00582733">
              <w:rPr>
                <w:rFonts w:ascii="Times New Roman" w:eastAsia="楷体_GB2312" w:hAnsi="Times New Roman"/>
                <w:sz w:val="28"/>
                <w:szCs w:val="28"/>
              </w:rPr>
              <w:t>%</w:t>
            </w:r>
            <w:r w:rsidRPr="00582733">
              <w:rPr>
                <w:rFonts w:ascii="Times New Roman" w:eastAsia="楷体_GB2312" w:hAnsi="Times New Roman" w:hint="eastAsia"/>
                <w:sz w:val="28"/>
                <w:szCs w:val="28"/>
              </w:rPr>
              <w:t>。</w:t>
            </w:r>
          </w:p>
        </w:tc>
      </w:tr>
    </w:tbl>
    <w:p w:rsidR="00F87C1F" w:rsidRPr="00582733" w:rsidRDefault="00F87C1F">
      <w:pPr>
        <w:rPr>
          <w:rFonts w:ascii="Times New Roman" w:eastAsia="楷体_GB2312" w:hAnsi="Times New Roman"/>
          <w:sz w:val="28"/>
          <w:szCs w:val="28"/>
        </w:rPr>
      </w:pPr>
    </w:p>
    <w:sectPr w:rsidR="00F87C1F" w:rsidRPr="0058273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0BC2" w:rsidRDefault="00EA0BC2" w:rsidP="00094095">
      <w:r>
        <w:separator/>
      </w:r>
    </w:p>
  </w:endnote>
  <w:endnote w:type="continuationSeparator" w:id="0">
    <w:p w:rsidR="00EA0BC2" w:rsidRDefault="00EA0BC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0BC2" w:rsidRDefault="00EA0BC2" w:rsidP="00094095">
      <w:r>
        <w:separator/>
      </w:r>
    </w:p>
  </w:footnote>
  <w:footnote w:type="continuationSeparator" w:id="0">
    <w:p w:rsidR="00EA0BC2" w:rsidRDefault="00EA0BC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52042"/>
    <w:rsid w:val="00094095"/>
    <w:rsid w:val="000A5D78"/>
    <w:rsid w:val="000B147B"/>
    <w:rsid w:val="000B2487"/>
    <w:rsid w:val="000B64F1"/>
    <w:rsid w:val="000E243D"/>
    <w:rsid w:val="000E76F2"/>
    <w:rsid w:val="00127ED4"/>
    <w:rsid w:val="00162935"/>
    <w:rsid w:val="001771C0"/>
    <w:rsid w:val="0019056C"/>
    <w:rsid w:val="001B6DDD"/>
    <w:rsid w:val="00230096"/>
    <w:rsid w:val="00245776"/>
    <w:rsid w:val="002A7F22"/>
    <w:rsid w:val="002C3941"/>
    <w:rsid w:val="002F2D60"/>
    <w:rsid w:val="00307976"/>
    <w:rsid w:val="0036755E"/>
    <w:rsid w:val="003A626B"/>
    <w:rsid w:val="003C125A"/>
    <w:rsid w:val="0045157E"/>
    <w:rsid w:val="00460F94"/>
    <w:rsid w:val="00462174"/>
    <w:rsid w:val="00541287"/>
    <w:rsid w:val="0056047D"/>
    <w:rsid w:val="00582733"/>
    <w:rsid w:val="005B4490"/>
    <w:rsid w:val="005C55F7"/>
    <w:rsid w:val="005D6A86"/>
    <w:rsid w:val="005E1D30"/>
    <w:rsid w:val="005F167B"/>
    <w:rsid w:val="006224D0"/>
    <w:rsid w:val="00632BFD"/>
    <w:rsid w:val="006342F4"/>
    <w:rsid w:val="0065283C"/>
    <w:rsid w:val="00657E23"/>
    <w:rsid w:val="00664BB5"/>
    <w:rsid w:val="006A76A3"/>
    <w:rsid w:val="006C4F9A"/>
    <w:rsid w:val="006E5E91"/>
    <w:rsid w:val="00730C3E"/>
    <w:rsid w:val="00782DE0"/>
    <w:rsid w:val="007D0C78"/>
    <w:rsid w:val="007D1573"/>
    <w:rsid w:val="007E3F1E"/>
    <w:rsid w:val="007F1160"/>
    <w:rsid w:val="00814100"/>
    <w:rsid w:val="00873039"/>
    <w:rsid w:val="00885AAF"/>
    <w:rsid w:val="0090310D"/>
    <w:rsid w:val="00961D55"/>
    <w:rsid w:val="00986FD4"/>
    <w:rsid w:val="009A69D8"/>
    <w:rsid w:val="009E478A"/>
    <w:rsid w:val="00A614B2"/>
    <w:rsid w:val="00AB264A"/>
    <w:rsid w:val="00B61924"/>
    <w:rsid w:val="00BA0750"/>
    <w:rsid w:val="00BB2377"/>
    <w:rsid w:val="00BB633F"/>
    <w:rsid w:val="00C07F15"/>
    <w:rsid w:val="00C32523"/>
    <w:rsid w:val="00C44367"/>
    <w:rsid w:val="00C51416"/>
    <w:rsid w:val="00C66BB8"/>
    <w:rsid w:val="00C9068E"/>
    <w:rsid w:val="00C90943"/>
    <w:rsid w:val="00CE0444"/>
    <w:rsid w:val="00D17D60"/>
    <w:rsid w:val="00D21777"/>
    <w:rsid w:val="00D44F6A"/>
    <w:rsid w:val="00D57B5D"/>
    <w:rsid w:val="00D701D5"/>
    <w:rsid w:val="00DB6DC6"/>
    <w:rsid w:val="00DC5EFC"/>
    <w:rsid w:val="00E26AF2"/>
    <w:rsid w:val="00E37448"/>
    <w:rsid w:val="00E423C6"/>
    <w:rsid w:val="00E52CC2"/>
    <w:rsid w:val="00E62256"/>
    <w:rsid w:val="00E7012A"/>
    <w:rsid w:val="00E80BCF"/>
    <w:rsid w:val="00EA0BC2"/>
    <w:rsid w:val="00ED21B1"/>
    <w:rsid w:val="00F11B05"/>
    <w:rsid w:val="00F36D88"/>
    <w:rsid w:val="00F45DEF"/>
    <w:rsid w:val="00F666F9"/>
    <w:rsid w:val="00F87C1F"/>
    <w:rsid w:val="00FD1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632BFD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632BFD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632BFD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632BF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7EB881-67A9-4CC0-BB89-A8B90B99D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739</Characters>
  <Application>Microsoft Office Word</Application>
  <DocSecurity>0</DocSecurity>
  <Lines>6</Lines>
  <Paragraphs>1</Paragraphs>
  <ScaleCrop>false</ScaleCrop>
  <Company>King &amp; Wood Mallesons</Company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mofcom</cp:lastModifiedBy>
  <cp:revision>3</cp:revision>
  <cp:lastPrinted>2018-11-29T01:43:00Z</cp:lastPrinted>
  <dcterms:created xsi:type="dcterms:W3CDTF">2018-12-19T06:31:00Z</dcterms:created>
  <dcterms:modified xsi:type="dcterms:W3CDTF">2018-12-20T02:59:00Z</dcterms:modified>
</cp:coreProperties>
</file>