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val="0"/>
        <w:topLinePunct w:val="0"/>
        <w:autoSpaceDE/>
        <w:autoSpaceDN/>
        <w:bidi w:val="0"/>
        <w:spacing w:line="564" w:lineRule="exact"/>
        <w:jc w:val="center"/>
        <w:textAlignment w:val="auto"/>
        <w:rPr>
          <w:rFonts w:hint="eastAsia" w:ascii="宋体" w:hAnsi="宋体" w:eastAsia="方正小标宋简体" w:cs="方正小标宋简体"/>
          <w:color w:val="000000" w:themeColor="text1"/>
          <w:sz w:val="44"/>
          <w:szCs w:val="44"/>
          <w14:textFill>
            <w14:solidFill>
              <w14:schemeClr w14:val="tx1"/>
            </w14:solidFill>
          </w14:textFill>
        </w:rPr>
      </w:pPr>
    </w:p>
    <w:p>
      <w:pPr>
        <w:keepNext w:val="0"/>
        <w:keepLines w:val="0"/>
        <w:pageBreakBefore w:val="0"/>
        <w:widowControl w:val="0"/>
        <w:kinsoku/>
        <w:wordWrap/>
        <w:overflowPunct w:val="0"/>
        <w:topLinePunct w:val="0"/>
        <w:autoSpaceDE/>
        <w:autoSpaceDN/>
        <w:bidi w:val="0"/>
        <w:spacing w:line="564" w:lineRule="exact"/>
        <w:jc w:val="center"/>
        <w:textAlignment w:val="auto"/>
        <w:rPr>
          <w:rFonts w:ascii="宋体" w:hAnsi="宋体" w:eastAsia="方正小标宋简体" w:cs="方正小标宋简体"/>
          <w:color w:val="000000" w:themeColor="text1"/>
          <w:sz w:val="44"/>
          <w:szCs w:val="44"/>
          <w14:textFill>
            <w14:solidFill>
              <w14:schemeClr w14:val="tx1"/>
            </w14:solidFill>
          </w14:textFill>
        </w:rPr>
      </w:pPr>
      <w:r>
        <w:rPr>
          <w:rFonts w:hint="eastAsia" w:ascii="宋体" w:hAnsi="宋体" w:eastAsia="方正小标宋简体" w:cs="方正小标宋简体"/>
          <w:color w:val="000000" w:themeColor="text1"/>
          <w:sz w:val="44"/>
          <w:szCs w:val="44"/>
          <w14:textFill>
            <w14:solidFill>
              <w14:schemeClr w14:val="tx1"/>
            </w14:solidFill>
          </w14:textFill>
        </w:rPr>
        <w:t>河南省市场监督管理局</w:t>
      </w:r>
    </w:p>
    <w:p>
      <w:pPr>
        <w:keepNext w:val="0"/>
        <w:keepLines w:val="0"/>
        <w:pageBreakBefore w:val="0"/>
        <w:widowControl w:val="0"/>
        <w:kinsoku/>
        <w:wordWrap/>
        <w:overflowPunct w:val="0"/>
        <w:topLinePunct w:val="0"/>
        <w:autoSpaceDE/>
        <w:autoSpaceDN/>
        <w:bidi w:val="0"/>
        <w:spacing w:line="564" w:lineRule="exact"/>
        <w:jc w:val="center"/>
        <w:textAlignment w:val="auto"/>
        <w:rPr>
          <w:rFonts w:ascii="宋体" w:hAnsi="宋体" w:eastAsia="方正小标宋简体" w:cs="方正小标宋简体"/>
          <w:color w:val="000000" w:themeColor="text1"/>
          <w:sz w:val="44"/>
          <w:szCs w:val="44"/>
          <w14:textFill>
            <w14:solidFill>
              <w14:schemeClr w14:val="tx1"/>
            </w14:solidFill>
          </w14:textFill>
        </w:rPr>
      </w:pPr>
      <w:bookmarkStart w:id="0" w:name="_Toc76683344"/>
      <w:r>
        <w:rPr>
          <w:rFonts w:hint="eastAsia" w:ascii="宋体" w:hAnsi="宋体" w:eastAsia="方正小标宋简体" w:cs="方正小标宋简体"/>
          <w:color w:val="000000" w:themeColor="text1"/>
          <w:sz w:val="44"/>
          <w:szCs w:val="44"/>
          <w14:textFill>
            <w14:solidFill>
              <w14:schemeClr w14:val="tx1"/>
            </w14:solidFill>
          </w14:textFill>
        </w:rPr>
        <w:t>行政处罚决定书</w:t>
      </w:r>
      <w:bookmarkEnd w:id="0"/>
    </w:p>
    <w:p>
      <w:pPr>
        <w:keepNext w:val="0"/>
        <w:keepLines w:val="0"/>
        <w:pageBreakBefore w:val="0"/>
        <w:widowControl w:val="0"/>
        <w:kinsoku/>
        <w:wordWrap/>
        <w:overflowPunct w:val="0"/>
        <w:topLinePunct w:val="0"/>
        <w:autoSpaceDE/>
        <w:autoSpaceDN/>
        <w:bidi w:val="0"/>
        <w:spacing w:line="564" w:lineRule="exact"/>
        <w:jc w:val="center"/>
        <w:textAlignment w:val="auto"/>
        <w:rPr>
          <w:rFonts w:ascii="宋体" w:hAnsi="宋体" w:eastAsia="仿宋_GB2312" w:cs="仿宋_GB2312"/>
          <w:color w:val="000000" w:themeColor="text1"/>
          <w:sz w:val="32"/>
          <w:szCs w:val="32"/>
          <w14:textFill>
            <w14:solidFill>
              <w14:schemeClr w14:val="tx1"/>
            </w14:solidFill>
          </w14:textFill>
        </w:rPr>
      </w:pPr>
    </w:p>
    <w:p>
      <w:pPr>
        <w:keepNext w:val="0"/>
        <w:keepLines w:val="0"/>
        <w:pageBreakBefore w:val="0"/>
        <w:widowControl w:val="0"/>
        <w:kinsoku/>
        <w:wordWrap/>
        <w:overflowPunct w:val="0"/>
        <w:topLinePunct w:val="0"/>
        <w:autoSpaceDE/>
        <w:autoSpaceDN/>
        <w:bidi w:val="0"/>
        <w:spacing w:line="564" w:lineRule="exact"/>
        <w:jc w:val="center"/>
        <w:textAlignment w:val="auto"/>
        <w:rPr>
          <w:rFonts w:ascii="宋体" w:hAnsi="宋体" w:eastAsia="仿宋_GB2312" w:cs="仿宋_GB2312"/>
          <w:color w:val="000000" w:themeColor="text1"/>
          <w:sz w:val="32"/>
          <w:szCs w:val="32"/>
          <w14:textFill>
            <w14:solidFill>
              <w14:schemeClr w14:val="tx1"/>
            </w14:solidFill>
          </w14:textFill>
        </w:rPr>
      </w:pPr>
      <w:r>
        <w:rPr>
          <w:rFonts w:hint="eastAsia" w:ascii="宋体" w:hAnsi="宋体" w:eastAsia="仿宋_GB2312" w:cs="仿宋_GB2312"/>
          <w:color w:val="000000" w:themeColor="text1"/>
          <w:sz w:val="32"/>
          <w:szCs w:val="32"/>
          <w14:textFill>
            <w14:solidFill>
              <w14:schemeClr w14:val="tx1"/>
            </w14:solidFill>
          </w14:textFill>
        </w:rPr>
        <w:t>豫市监处罚〔</w:t>
      </w:r>
      <w:r>
        <w:rPr>
          <w:rFonts w:hint="eastAsia" w:ascii="宋体" w:hAnsi="宋体" w:eastAsia="仿宋" w:cs="仿宋"/>
          <w:color w:val="000000" w:themeColor="text1"/>
          <w:sz w:val="32"/>
          <w:szCs w:val="32"/>
          <w14:textFill>
            <w14:solidFill>
              <w14:schemeClr w14:val="tx1"/>
            </w14:solidFill>
          </w14:textFill>
        </w:rPr>
        <w:t>2022</w:t>
      </w:r>
      <w:r>
        <w:rPr>
          <w:rFonts w:hint="eastAsia" w:ascii="宋体" w:hAnsi="宋体" w:eastAsia="仿宋_GB2312" w:cs="仿宋_GB2312"/>
          <w:color w:val="000000" w:themeColor="text1"/>
          <w:sz w:val="32"/>
          <w:szCs w:val="32"/>
          <w14:textFill>
            <w14:solidFill>
              <w14:schemeClr w14:val="tx1"/>
            </w14:solidFill>
          </w14:textFill>
        </w:rPr>
        <w:t>〕6-1号</w:t>
      </w:r>
    </w:p>
    <w:p>
      <w:pPr>
        <w:keepNext w:val="0"/>
        <w:keepLines w:val="0"/>
        <w:pageBreakBefore w:val="0"/>
        <w:widowControl w:val="0"/>
        <w:kinsoku/>
        <w:wordWrap/>
        <w:overflowPunct w:val="0"/>
        <w:topLinePunct w:val="0"/>
        <w:autoSpaceDE/>
        <w:autoSpaceDN/>
        <w:bidi w:val="0"/>
        <w:spacing w:line="564" w:lineRule="exact"/>
        <w:ind w:firstLine="640" w:firstLineChars="200"/>
        <w:jc w:val="center"/>
        <w:textAlignment w:val="auto"/>
        <w:rPr>
          <w:rFonts w:ascii="宋体" w:hAnsi="宋体" w:eastAsia="仿宋_GB2312" w:cs="仿宋_GB2312"/>
          <w:color w:val="000000" w:themeColor="text1"/>
          <w:sz w:val="32"/>
          <w:szCs w:val="32"/>
          <w14:textFill>
            <w14:solidFill>
              <w14:schemeClr w14:val="tx1"/>
            </w14:solidFill>
          </w14:textFill>
        </w:rPr>
      </w:pPr>
    </w:p>
    <w:p>
      <w:pPr>
        <w:keepNext w:val="0"/>
        <w:keepLines w:val="0"/>
        <w:pageBreakBefore w:val="0"/>
        <w:widowControl w:val="0"/>
        <w:kinsoku/>
        <w:wordWrap/>
        <w:overflowPunct w:val="0"/>
        <w:topLinePunct w:val="0"/>
        <w:autoSpaceDE/>
        <w:autoSpaceDN/>
        <w:bidi w:val="0"/>
        <w:adjustRightInd w:val="0"/>
        <w:spacing w:line="564" w:lineRule="exact"/>
        <w:ind w:firstLine="640" w:firstLineChars="200"/>
        <w:textAlignment w:val="auto"/>
        <w:rPr>
          <w:rFonts w:ascii="宋体" w:hAnsi="宋体" w:eastAsia="黑体" w:cs="黑体"/>
          <w:color w:val="000000" w:themeColor="text1"/>
          <w:sz w:val="32"/>
          <w:szCs w:val="32"/>
          <w14:textFill>
            <w14:solidFill>
              <w14:schemeClr w14:val="tx1"/>
            </w14:solidFill>
          </w14:textFill>
        </w:rPr>
      </w:pPr>
      <w:r>
        <w:rPr>
          <w:rFonts w:hint="eastAsia" w:ascii="宋体" w:hAnsi="宋体" w:eastAsia="黑体" w:cs="黑体"/>
          <w:color w:val="000000" w:themeColor="text1"/>
          <w:sz w:val="32"/>
          <w:szCs w:val="32"/>
          <w14:textFill>
            <w14:solidFill>
              <w14:schemeClr w14:val="tx1"/>
            </w14:solidFill>
          </w14:textFill>
        </w:rPr>
        <w:t>一、当事人基本情况</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hint="eastAsia" w:ascii="宋体" w:hAnsi="宋体" w:eastAsia="仿宋_GB2312" w:cs="仿宋_GB2312"/>
          <w:color w:val="000000" w:themeColor="text1"/>
          <w:sz w:val="32"/>
          <w:szCs w:val="32"/>
          <w14:textFill>
            <w14:solidFill>
              <w14:schemeClr w14:val="tx1"/>
            </w14:solidFill>
          </w14:textFill>
        </w:rPr>
      </w:pPr>
      <w:r>
        <w:rPr>
          <w:rFonts w:hint="eastAsia" w:ascii="宋体" w:hAnsi="宋体" w:eastAsia="仿宋_GB2312" w:cs="仿宋_GB2312"/>
          <w:color w:val="000000" w:themeColor="text1"/>
          <w:sz w:val="32"/>
          <w:szCs w:val="32"/>
          <w14:textFill>
            <w14:solidFill>
              <w14:schemeClr w14:val="tx1"/>
            </w14:solidFill>
          </w14:textFill>
        </w:rPr>
        <w:t>当事人：焦作市二手车流通协会；</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hint="eastAsia" w:ascii="宋体" w:hAnsi="宋体" w:eastAsia="仿宋_GB2312" w:cs="仿宋_GB2312"/>
          <w:color w:val="000000" w:themeColor="text1"/>
          <w:sz w:val="32"/>
          <w:szCs w:val="32"/>
          <w14:textFill>
            <w14:solidFill>
              <w14:schemeClr w14:val="tx1"/>
            </w14:solidFill>
          </w14:textFill>
        </w:rPr>
      </w:pPr>
      <w:r>
        <w:rPr>
          <w:rFonts w:hint="eastAsia" w:ascii="宋体" w:hAnsi="宋体" w:eastAsia="仿宋_GB2312" w:cs="仿宋_GB2312"/>
          <w:color w:val="000000" w:themeColor="text1"/>
          <w:sz w:val="32"/>
          <w:szCs w:val="32"/>
          <w14:textFill>
            <w14:solidFill>
              <w14:schemeClr w14:val="tx1"/>
            </w14:solidFill>
          </w14:textFill>
        </w:rPr>
        <w:t>统一代码：51410801MJG250438K；</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hint="eastAsia" w:ascii="宋体" w:hAnsi="宋体" w:eastAsia="仿宋_GB2312" w:cs="仿宋_GB2312"/>
          <w:color w:val="000000" w:themeColor="text1"/>
          <w:sz w:val="32"/>
          <w:szCs w:val="32"/>
          <w:lang w:val="en-US" w:eastAsia="zh-CN"/>
          <w14:textFill>
            <w14:solidFill>
              <w14:schemeClr w14:val="tx1"/>
            </w14:solidFill>
          </w14:textFill>
        </w:rPr>
      </w:pPr>
      <w:r>
        <w:rPr>
          <w:rFonts w:hint="eastAsia" w:ascii="宋体" w:hAnsi="宋体" w:eastAsia="仿宋_GB2312" w:cs="仿宋_GB2312"/>
          <w:color w:val="000000" w:themeColor="text1"/>
          <w:sz w:val="32"/>
          <w:szCs w:val="32"/>
          <w14:textFill>
            <w14:solidFill>
              <w14:schemeClr w14:val="tx1"/>
            </w14:solidFill>
          </w14:textFill>
        </w:rPr>
        <w:t>法人代表：</w:t>
      </w:r>
      <w:bookmarkStart w:id="1" w:name="_GoBack"/>
      <w:r>
        <w:rPr>
          <w:rFonts w:hint="eastAsia" w:ascii="宋体" w:hAnsi="宋体" w:eastAsia="仿宋_GB2312" w:cs="仿宋_GB2312"/>
          <w:color w:val="000000" w:themeColor="text1"/>
          <w:sz w:val="32"/>
          <w:szCs w:val="32"/>
          <w:lang w:val="en-US" w:eastAsia="zh-CN"/>
          <w14:textFill>
            <w14:solidFill>
              <w14:schemeClr w14:val="tx1"/>
            </w14:solidFill>
          </w14:textFill>
        </w:rPr>
        <w:t>**；</w:t>
      </w:r>
      <w:bookmarkEnd w:id="1"/>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hint="eastAsia" w:ascii="宋体" w:hAnsi="宋体" w:eastAsia="仿宋_GB2312" w:cs="仿宋_GB2312"/>
          <w:color w:val="000000" w:themeColor="text1"/>
          <w:sz w:val="32"/>
          <w:szCs w:val="32"/>
          <w14:textFill>
            <w14:solidFill>
              <w14:schemeClr w14:val="tx1"/>
            </w14:solidFill>
          </w14:textFill>
        </w:rPr>
      </w:pPr>
      <w:r>
        <w:rPr>
          <w:rFonts w:hint="eastAsia" w:ascii="宋体" w:hAnsi="宋体" w:eastAsia="仿宋_GB2312" w:cs="仿宋_GB2312"/>
          <w:color w:val="000000" w:themeColor="text1"/>
          <w:sz w:val="32"/>
          <w:szCs w:val="32"/>
          <w14:textFill>
            <w14:solidFill>
              <w14:schemeClr w14:val="tx1"/>
            </w14:solidFill>
          </w14:textFill>
        </w:rPr>
        <w:t>住所：河南省焦作市塔南路高新技术开发区李万南500米（恒桥旧机动车交易市场院内）；</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hint="eastAsia" w:ascii="宋体" w:hAnsi="宋体" w:eastAsia="仿宋_GB2312" w:cs="仿宋_GB2312"/>
          <w:color w:val="000000" w:themeColor="text1"/>
          <w:sz w:val="32"/>
          <w:szCs w:val="32"/>
          <w14:textFill>
            <w14:solidFill>
              <w14:schemeClr w14:val="tx1"/>
            </w14:solidFill>
          </w14:textFill>
        </w:rPr>
      </w:pPr>
      <w:r>
        <w:rPr>
          <w:rFonts w:hint="eastAsia" w:ascii="宋体" w:hAnsi="宋体" w:eastAsia="仿宋_GB2312" w:cs="仿宋_GB2312"/>
          <w:color w:val="000000" w:themeColor="text1"/>
          <w:sz w:val="32"/>
          <w:szCs w:val="32"/>
          <w14:textFill>
            <w14:solidFill>
              <w14:schemeClr w14:val="tx1"/>
            </w14:solidFill>
          </w14:textFill>
        </w:rPr>
        <w:t>机构类型：社会团体；</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hint="eastAsia" w:ascii="宋体" w:hAnsi="宋体" w:eastAsia="仿宋_GB2312" w:cs="仿宋_GB2312"/>
          <w:color w:val="000000" w:themeColor="text1"/>
          <w:sz w:val="32"/>
          <w:szCs w:val="32"/>
          <w14:textFill>
            <w14:solidFill>
              <w14:schemeClr w14:val="tx1"/>
            </w14:solidFill>
          </w14:textFill>
        </w:rPr>
      </w:pPr>
      <w:r>
        <w:rPr>
          <w:rFonts w:hint="eastAsia" w:ascii="宋体" w:hAnsi="宋体" w:eastAsia="仿宋_GB2312" w:cs="仿宋_GB2312"/>
          <w:color w:val="000000" w:themeColor="text1"/>
          <w:sz w:val="32"/>
          <w:szCs w:val="32"/>
          <w14:textFill>
            <w14:solidFill>
              <w14:schemeClr w14:val="tx1"/>
            </w14:solidFill>
          </w14:textFill>
        </w:rPr>
        <w:t>业务范围：加强行业自律，制定行业服务标准，规范从业者经营行为，组织二手车相关知识培训，维护二手车交易秩序。</w:t>
      </w:r>
    </w:p>
    <w:p>
      <w:pPr>
        <w:keepNext w:val="0"/>
        <w:keepLines w:val="0"/>
        <w:pageBreakBefore w:val="0"/>
        <w:widowControl w:val="0"/>
        <w:kinsoku/>
        <w:wordWrap/>
        <w:overflowPunct w:val="0"/>
        <w:topLinePunct w:val="0"/>
        <w:autoSpaceDE/>
        <w:autoSpaceDN/>
        <w:bidi w:val="0"/>
        <w:adjustRightInd w:val="0"/>
        <w:spacing w:line="564" w:lineRule="exact"/>
        <w:ind w:firstLine="640" w:firstLineChars="200"/>
        <w:textAlignment w:val="auto"/>
        <w:rPr>
          <w:rFonts w:ascii="宋体" w:hAnsi="宋体" w:eastAsia="黑体" w:cs="黑体"/>
          <w:color w:val="000000" w:themeColor="text1"/>
          <w:sz w:val="32"/>
          <w:szCs w:val="32"/>
          <w14:textFill>
            <w14:solidFill>
              <w14:schemeClr w14:val="tx1"/>
            </w14:solidFill>
          </w14:textFill>
        </w:rPr>
      </w:pPr>
      <w:r>
        <w:rPr>
          <w:rFonts w:hint="eastAsia" w:ascii="宋体" w:hAnsi="宋体" w:eastAsia="黑体" w:cs="黑体"/>
          <w:color w:val="000000" w:themeColor="text1"/>
          <w:sz w:val="32"/>
          <w:szCs w:val="32"/>
          <w14:textFill>
            <w14:solidFill>
              <w14:schemeClr w14:val="tx1"/>
            </w14:solidFill>
          </w14:textFill>
        </w:rPr>
        <w:t>二、案件来源及调查经过</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olor w:val="000000" w:themeColor="text1"/>
          <w:sz w:val="32"/>
          <w:szCs w:val="32"/>
          <w14:textFill>
            <w14:solidFill>
              <w14:schemeClr w14:val="tx1"/>
            </w14:solidFill>
          </w14:textFill>
        </w:rPr>
      </w:pPr>
      <w:r>
        <w:rPr>
          <w:rFonts w:hint="eastAsia" w:ascii="宋体" w:hAnsi="宋体" w:eastAsia="仿宋_GB2312" w:cs="仿宋_GB2312"/>
          <w:color w:val="000000" w:themeColor="text1"/>
          <w:sz w:val="32"/>
          <w:szCs w:val="32"/>
          <w14:textFill>
            <w14:solidFill>
              <w14:schemeClr w14:val="tx1"/>
            </w14:solidFill>
          </w14:textFill>
        </w:rPr>
        <w:t>2022年8月24日，国务院督查组在河南督导期间向本机关交办了焦作市多家二手车交易市场公司涉嫌达成并实施垄断协议的案件线索。本机关立即对该案件线索开展了调查，经核查，本案是由当事人组织本行业经营者达成并实施的垄断协议。2022年9月20日，本机关对当事人组织相关经营者达成并实施垄断协议的行为进行立案调查。期间，本机关依法</w:t>
      </w:r>
      <w:r>
        <w:rPr>
          <w:rFonts w:hint="eastAsia" w:ascii="宋体" w:hAnsi="宋体" w:eastAsia="仿宋_GB2312"/>
          <w:color w:val="000000" w:themeColor="text1"/>
          <w:sz w:val="32"/>
          <w:szCs w:val="32"/>
          <w14:textFill>
            <w14:solidFill>
              <w14:schemeClr w14:val="tx1"/>
            </w14:solidFill>
          </w14:textFill>
        </w:rPr>
        <w:t>进行了现场检查、调查询问，提</w:t>
      </w:r>
      <w:r>
        <w:rPr>
          <w:rFonts w:ascii="宋体" w:hAnsi="宋体" w:eastAsia="仿宋_GB2312"/>
          <w:color w:val="000000" w:themeColor="text1"/>
          <w:kern w:val="10"/>
          <w:sz w:val="32"/>
          <w:szCs w:val="32"/>
          <w14:textFill>
            <w14:solidFill>
              <w14:schemeClr w14:val="tx1"/>
            </w14:solidFill>
          </w14:textFill>
        </w:rPr>
        <w:t>取了相关书证、电子数据等材料，</w:t>
      </w:r>
      <w:r>
        <w:rPr>
          <w:rFonts w:hint="eastAsia" w:ascii="宋体" w:hAnsi="宋体" w:eastAsia="仿宋_GB2312"/>
          <w:color w:val="000000" w:themeColor="text1"/>
          <w:sz w:val="32"/>
          <w:szCs w:val="32"/>
          <w14:textFill>
            <w14:solidFill>
              <w14:schemeClr w14:val="tx1"/>
            </w14:solidFill>
          </w14:textFill>
        </w:rPr>
        <w:t>并多次听取当事人陈述申辩意见，保障当事人合法权利。</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olor w:val="000000" w:themeColor="text1"/>
          <w:sz w:val="32"/>
          <w:szCs w:val="32"/>
          <w14:textFill>
            <w14:solidFill>
              <w14:schemeClr w14:val="tx1"/>
            </w14:solidFill>
          </w14:textFill>
        </w:rPr>
      </w:pPr>
      <w:r>
        <w:rPr>
          <w:rFonts w:ascii="宋体" w:hAnsi="宋体" w:eastAsia="仿宋_GB2312"/>
          <w:color w:val="000000" w:themeColor="text1"/>
          <w:sz w:val="32"/>
          <w:szCs w:val="32"/>
          <w14:textFill>
            <w14:solidFill>
              <w14:schemeClr w14:val="tx1"/>
            </w14:solidFill>
          </w14:textFill>
        </w:rPr>
        <w:t>2023年</w:t>
      </w:r>
      <w:r>
        <w:rPr>
          <w:rFonts w:hint="eastAsia" w:ascii="宋体" w:hAnsi="宋体" w:eastAsia="仿宋_GB2312"/>
          <w:color w:val="000000" w:themeColor="text1"/>
          <w:sz w:val="32"/>
          <w:szCs w:val="32"/>
          <w14:textFill>
            <w14:solidFill>
              <w14:schemeClr w14:val="tx1"/>
            </w14:solidFill>
          </w14:textFill>
        </w:rPr>
        <w:t>12</w:t>
      </w:r>
      <w:r>
        <w:rPr>
          <w:rFonts w:ascii="宋体" w:hAnsi="宋体" w:eastAsia="仿宋_GB2312"/>
          <w:color w:val="000000" w:themeColor="text1"/>
          <w:sz w:val="32"/>
          <w:szCs w:val="32"/>
          <w14:textFill>
            <w14:solidFill>
              <w14:schemeClr w14:val="tx1"/>
            </w14:solidFill>
          </w14:textFill>
        </w:rPr>
        <w:t>月</w:t>
      </w:r>
      <w:r>
        <w:rPr>
          <w:rFonts w:hint="eastAsia" w:ascii="宋体" w:hAnsi="宋体" w:eastAsia="仿宋_GB2312"/>
          <w:color w:val="000000" w:themeColor="text1"/>
          <w:sz w:val="32"/>
          <w:szCs w:val="32"/>
          <w14:textFill>
            <w14:solidFill>
              <w14:schemeClr w14:val="tx1"/>
            </w14:solidFill>
          </w14:textFill>
        </w:rPr>
        <w:t>6</w:t>
      </w:r>
      <w:r>
        <w:rPr>
          <w:rFonts w:ascii="宋体" w:hAnsi="宋体" w:eastAsia="仿宋_GB2312"/>
          <w:color w:val="000000" w:themeColor="text1"/>
          <w:sz w:val="32"/>
          <w:szCs w:val="32"/>
          <w14:textFill>
            <w14:solidFill>
              <w14:schemeClr w14:val="tx1"/>
            </w14:solidFill>
          </w14:textFill>
        </w:rPr>
        <w:t>日，本机关依法向当事人送达了《行政处罚告知书》，告知当事人涉嫌违反《中华人民共和国反垄断法》的事实、拟作出的行政处罚决定、理由和依据，以及依法享有陈述、申辩和要求举行听证的权利。当事人在法定期限内未向本机关进行陈述、申辩，也未要求举行听证。</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hint="eastAsia" w:ascii="宋体" w:hAnsi="宋体" w:eastAsia="黑体" w:cs="黑体"/>
          <w:color w:val="000000" w:themeColor="text1"/>
          <w:sz w:val="32"/>
          <w:szCs w:val="32"/>
          <w:lang w:val="en" w:eastAsia="zh-CN"/>
          <w14:textFill>
            <w14:solidFill>
              <w14:schemeClr w14:val="tx1"/>
            </w14:solidFill>
          </w14:textFill>
        </w:rPr>
      </w:pPr>
      <w:r>
        <w:rPr>
          <w:rFonts w:hint="eastAsia" w:ascii="宋体" w:hAnsi="宋体" w:eastAsia="黑体" w:cs="黑体"/>
          <w:color w:val="000000" w:themeColor="text1"/>
          <w:sz w:val="32"/>
          <w:szCs w:val="32"/>
          <w14:textFill>
            <w14:solidFill>
              <w14:schemeClr w14:val="tx1"/>
            </w14:solidFill>
          </w14:textFill>
        </w:rPr>
        <w:t>三、违法事实</w:t>
      </w:r>
      <w:r>
        <w:rPr>
          <w:rFonts w:hint="eastAsia" w:ascii="宋体" w:hAnsi="宋体" w:eastAsia="黑体" w:cs="黑体"/>
          <w:color w:val="000000" w:themeColor="text1"/>
          <w:sz w:val="32"/>
          <w:szCs w:val="32"/>
          <w:lang w:eastAsia="zh-CN"/>
          <w14:textFill>
            <w14:solidFill>
              <w14:schemeClr w14:val="tx1"/>
            </w14:solidFill>
          </w14:textFill>
        </w:rPr>
        <w:t>及相关证据</w:t>
      </w:r>
    </w:p>
    <w:p>
      <w:pPr>
        <w:pStyle w:val="2"/>
        <w:keepNext w:val="0"/>
        <w:keepLines w:val="0"/>
        <w:pageBreakBefore w:val="0"/>
        <w:widowControl w:val="0"/>
        <w:kinsoku/>
        <w:wordWrap/>
        <w:overflowPunct w:val="0"/>
        <w:topLinePunct w:val="0"/>
        <w:autoSpaceDE/>
        <w:autoSpaceDN/>
        <w:bidi w:val="0"/>
        <w:spacing w:line="564" w:lineRule="exact"/>
        <w:ind w:firstLine="640"/>
        <w:textAlignment w:val="auto"/>
        <w:rPr>
          <w:rFonts w:ascii="宋体" w:hAnsi="宋体" w:eastAsia="楷体_GB2312" w:cs="楷体_GB2312"/>
          <w:color w:val="000000" w:themeColor="text1"/>
          <w:sz w:val="32"/>
          <w:szCs w:val="32"/>
          <w14:textFill>
            <w14:solidFill>
              <w14:schemeClr w14:val="tx1"/>
            </w14:solidFill>
          </w14:textFill>
        </w:rPr>
      </w:pPr>
      <w:r>
        <w:rPr>
          <w:rFonts w:hint="eastAsia" w:ascii="宋体" w:hAnsi="宋体" w:eastAsia="楷体_GB2312" w:cs="楷体_GB2312"/>
          <w:color w:val="000000" w:themeColor="text1"/>
          <w:sz w:val="32"/>
          <w:szCs w:val="32"/>
          <w14:textFill>
            <w14:solidFill>
              <w14:schemeClr w14:val="tx1"/>
            </w14:solidFill>
          </w14:textFill>
        </w:rPr>
        <w:t>（一）焦作市二手车交易市场公司在焦作市二手车交易服务市场是具有竞争关系的经营者。</w:t>
      </w:r>
    </w:p>
    <w:p>
      <w:pPr>
        <w:pStyle w:val="2"/>
        <w:keepNext w:val="0"/>
        <w:keepLines w:val="0"/>
        <w:pageBreakBefore w:val="0"/>
        <w:widowControl w:val="0"/>
        <w:kinsoku/>
        <w:wordWrap/>
        <w:overflowPunct w:val="0"/>
        <w:topLinePunct w:val="0"/>
        <w:autoSpaceDE/>
        <w:autoSpaceDN/>
        <w:bidi w:val="0"/>
        <w:spacing w:line="564" w:lineRule="exact"/>
        <w:ind w:firstLine="640"/>
        <w:textAlignment w:val="auto"/>
        <w:rPr>
          <w:rFonts w:ascii="宋体" w:hAnsi="宋体" w:eastAsia="仿宋_GB2312" w:cs="仿宋_GB2312"/>
          <w:color w:val="000000" w:themeColor="text1"/>
          <w:sz w:val="32"/>
          <w:szCs w:val="32"/>
          <w:shd w:val="clear" w:color="auto" w:fill="FFFFFF"/>
          <w14:textFill>
            <w14:solidFill>
              <w14:schemeClr w14:val="tx1"/>
            </w14:solidFill>
          </w14:textFill>
        </w:rPr>
      </w:pPr>
      <w:r>
        <w:rPr>
          <w:rFonts w:hint="eastAsia" w:ascii="宋体" w:hAnsi="宋体" w:eastAsia="仿宋_GB2312" w:cs="仿宋_GB2312"/>
          <w:color w:val="000000" w:themeColor="text1"/>
          <w:sz w:val="32"/>
          <w:szCs w:val="32"/>
          <w:shd w:val="clear" w:color="auto" w:fill="FFFFFF"/>
          <w14:textFill>
            <w14:solidFill>
              <w14:schemeClr w14:val="tx1"/>
            </w14:solidFill>
          </w14:textFill>
        </w:rPr>
        <w:t>根据《二手车流通管理办法》《国家税务总局关于二手车经销公司发票使用有关问题的公告》等规定，</w:t>
      </w:r>
      <w:r>
        <w:rPr>
          <w:rFonts w:hint="eastAsia" w:ascii="宋体" w:hAnsi="宋体" w:eastAsia="仿宋_GB2312" w:cs="仿宋_GB2312"/>
          <w:color w:val="000000" w:themeColor="text1"/>
          <w:sz w:val="32"/>
          <w:szCs w:val="32"/>
          <w14:textFill>
            <w14:solidFill>
              <w14:schemeClr w14:val="tx1"/>
            </w14:solidFill>
          </w14:textFill>
        </w:rPr>
        <w:t>二手车交易应在二手车交易市场进行，并由交易市场出具交易发票，作为车辆办理过户的依据</w:t>
      </w:r>
      <w:r>
        <w:rPr>
          <w:rFonts w:hint="eastAsia" w:ascii="宋体" w:hAnsi="宋体" w:eastAsia="仿宋_GB2312" w:cs="仿宋_GB2312"/>
          <w:color w:val="000000" w:themeColor="text1"/>
          <w:sz w:val="32"/>
          <w:szCs w:val="32"/>
          <w:shd w:val="clear" w:color="auto" w:fill="FFFFFF"/>
          <w14:textFill>
            <w14:solidFill>
              <w14:schemeClr w14:val="tx1"/>
            </w14:solidFill>
          </w14:textFill>
        </w:rPr>
        <w:t>。</w:t>
      </w:r>
    </w:p>
    <w:p>
      <w:pPr>
        <w:pStyle w:val="2"/>
        <w:keepNext w:val="0"/>
        <w:keepLines w:val="0"/>
        <w:pageBreakBefore w:val="0"/>
        <w:widowControl w:val="0"/>
        <w:kinsoku/>
        <w:wordWrap/>
        <w:overflowPunct w:val="0"/>
        <w:topLinePunct w:val="0"/>
        <w:autoSpaceDE/>
        <w:autoSpaceDN/>
        <w:bidi w:val="0"/>
        <w:spacing w:line="564" w:lineRule="exact"/>
        <w:ind w:firstLine="640"/>
        <w:textAlignment w:val="auto"/>
        <w:rPr>
          <w:rFonts w:ascii="宋体" w:hAnsi="宋体" w:eastAsia="仿宋_GB2312" w:cs="仿宋_GB2312"/>
          <w:color w:val="000000" w:themeColor="text1"/>
          <w:sz w:val="32"/>
          <w:szCs w:val="32"/>
          <w14:textFill>
            <w14:solidFill>
              <w14:schemeClr w14:val="tx1"/>
            </w14:solidFill>
          </w14:textFill>
        </w:rPr>
      </w:pPr>
      <w:r>
        <w:rPr>
          <w:rFonts w:hint="eastAsia" w:ascii="宋体" w:hAnsi="宋体" w:eastAsia="仿宋_GB2312" w:cs="仿宋_GB2312"/>
          <w:color w:val="000000" w:themeColor="text1"/>
          <w:sz w:val="32"/>
          <w:szCs w:val="32"/>
          <w:shd w:val="clear" w:color="auto" w:fill="FFFFFF"/>
          <w14:textFill>
            <w14:solidFill>
              <w14:schemeClr w14:val="tx1"/>
            </w14:solidFill>
          </w14:textFill>
        </w:rPr>
        <w:t>本案涉案的焦作市二手车交易市场共有18家，分别为</w:t>
      </w:r>
      <w:r>
        <w:rPr>
          <w:rFonts w:hint="eastAsia" w:ascii="宋体" w:hAnsi="宋体" w:eastAsia="仿宋_GB2312" w:cs="仿宋_GB2312"/>
          <w:color w:val="000000" w:themeColor="text1"/>
          <w:sz w:val="32"/>
          <w:szCs w:val="32"/>
          <w14:textFill>
            <w14:solidFill>
              <w14:schemeClr w14:val="tx1"/>
            </w14:solidFill>
          </w14:textFill>
        </w:rPr>
        <w:t>焦作市恒桥旧机动车交易市场有限责任公司（简称“恒桥”）、焦作市安驰二手车交易市场有限公司（简称“安驰”）、焦作市东城国贸二手车市场有限公司（简称“东城”）、焦作市警源二手车交易市场有限公司（简称“警源”）、焦作市富捷二手车市场有限公司（简称“富捷”）、焦作市启汇二手车交易市场有限公司（简称“启汇”）、焦作市通大二手车交易市场有限公司（简称“通大”）、沁阳市瑞轩旧机动车交易服务有限公司（简称“瑞轩”）、温县天赐二手车交易市场有限公司（简称“天赐”）、孟州市路通二手车交易市场有限公司（简称“路通”）、孟州市路安二手车交易市场有限公司（简称“路安”）、修武县源通旧机动车交易市场有限公司（简称“源通”）、河南省鑫丰二手车市场管理有限公司（简称“鑫丰”）、焦作市优信二手车市场有限公司（简称“优信”）、焦作市鸿大二手车交易市场有限公司（简称“鸿大”）、温县顺风二手车交易市场有限公司（简称“顺风”）、博爱县盛博二手车交易有限公司（简称“盛博”）、博爱县德聚二手车交易市场有限公司（简称“德聚”）。</w:t>
      </w:r>
    </w:p>
    <w:p>
      <w:pPr>
        <w:pStyle w:val="2"/>
        <w:keepNext w:val="0"/>
        <w:keepLines w:val="0"/>
        <w:pageBreakBefore w:val="0"/>
        <w:widowControl w:val="0"/>
        <w:kinsoku/>
        <w:wordWrap/>
        <w:overflowPunct w:val="0"/>
        <w:topLinePunct w:val="0"/>
        <w:autoSpaceDE/>
        <w:autoSpaceDN/>
        <w:bidi w:val="0"/>
        <w:spacing w:line="564" w:lineRule="exact"/>
        <w:ind w:firstLine="640"/>
        <w:textAlignment w:val="auto"/>
        <w:rPr>
          <w:rFonts w:ascii="宋体" w:hAnsi="宋体" w:eastAsia="仿宋_GB2312" w:cs="仿宋_GB2312"/>
          <w:color w:val="000000" w:themeColor="text1"/>
          <w:sz w:val="32"/>
          <w:szCs w:val="32"/>
          <w14:textFill>
            <w14:solidFill>
              <w14:schemeClr w14:val="tx1"/>
            </w14:solidFill>
          </w14:textFill>
        </w:rPr>
      </w:pPr>
      <w:r>
        <w:rPr>
          <w:rFonts w:hint="eastAsia" w:ascii="宋体" w:hAnsi="宋体" w:eastAsia="仿宋_GB2312" w:cs="仿宋_GB2312"/>
          <w:color w:val="000000" w:themeColor="text1"/>
          <w:sz w:val="32"/>
          <w:szCs w:val="32"/>
          <w:shd w:val="clear" w:color="auto" w:fill="FFFFFF"/>
          <w14:textFill>
            <w14:solidFill>
              <w14:schemeClr w14:val="tx1"/>
            </w14:solidFill>
          </w14:textFill>
        </w:rPr>
        <w:t>上述18家二手车交易市场公司均从事二手车交易服务，向客户收取交易服务费，</w:t>
      </w:r>
      <w:r>
        <w:rPr>
          <w:rFonts w:hint="eastAsia" w:ascii="宋体" w:hAnsi="宋体" w:eastAsia="仿宋_GB2312" w:cs="仿宋_GB2312"/>
          <w:color w:val="000000" w:themeColor="text1"/>
          <w:sz w:val="32"/>
          <w:szCs w:val="32"/>
          <w14:textFill>
            <w14:solidFill>
              <w14:schemeClr w14:val="tx1"/>
            </w14:solidFill>
          </w14:textFill>
        </w:rPr>
        <w:t>在焦作市二手车交易服务市场是具有竞争关系的经营者。</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hint="eastAsia" w:ascii="楷体_GB2312" w:hAnsi="楷体_GB2312" w:eastAsia="楷体_GB2312" w:cs="楷体_GB2312"/>
          <w:color w:val="000000" w:themeColor="text1"/>
          <w:sz w:val="32"/>
          <w:szCs w:val="32"/>
          <w14:textFill>
            <w14:solidFill>
              <w14:schemeClr w14:val="tx1"/>
            </w14:solidFill>
          </w14:textFill>
        </w:rPr>
      </w:pPr>
      <w:r>
        <w:rPr>
          <w:rFonts w:hint="eastAsia" w:ascii="楷体_GB2312" w:hAnsi="楷体_GB2312" w:eastAsia="楷体_GB2312" w:cs="楷体_GB2312"/>
          <w:color w:val="000000" w:themeColor="text1"/>
          <w:sz w:val="32"/>
          <w:szCs w:val="32"/>
          <w14:textFill>
            <w14:solidFill>
              <w14:schemeClr w14:val="tx1"/>
            </w14:solidFill>
          </w14:textFill>
        </w:rPr>
        <w:t>（二）当事人组织本行业经营者达成并实施了固定或者变更商品价格、分割销售市场的垄断协议。</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s="仿宋_GB2312"/>
          <w:color w:val="000000" w:themeColor="text1"/>
          <w:sz w:val="32"/>
          <w:szCs w:val="32"/>
          <w14:textFill>
            <w14:solidFill>
              <w14:schemeClr w14:val="tx1"/>
            </w14:solidFill>
          </w14:textFill>
        </w:rPr>
      </w:pPr>
      <w:r>
        <w:rPr>
          <w:rFonts w:hint="eastAsia" w:ascii="宋体" w:hAnsi="宋体" w:eastAsia="仿宋_GB2312" w:cs="仿宋_GB2312"/>
          <w:color w:val="000000" w:themeColor="text1"/>
          <w:sz w:val="32"/>
          <w:szCs w:val="32"/>
          <w14:textFill>
            <w14:solidFill>
              <w14:schemeClr w14:val="tx1"/>
            </w14:solidFill>
          </w14:textFill>
        </w:rPr>
        <w:t>经查，上述18家公司所公示的二手车交易服务费收费标准主要是参照恒桥、安驰公司而制定，公示收费价格趋同。2020年9月至2021年12月期间，在当事人的组织下，恒桥、安驰、东城、启汇、通大、警源、富捷、源通、瑞轩、天赐、路安、路通等12家公司达成协议，即各公司协同执行趋同的二手车交易服务费公示价格，同时约定各公司的月销售额计算基数，通过“高交低补”、控制开票数量等手段达到分割销售市场之目的。为确保协议的顺利实施，当事人通过收取保证金、现场检查、税务数据比对等方式监督各公司价格执行和实际开票情况，套用特定公式计算出各公司当月应得销售收入，并通过现金、微信转账、个人银行卡转账等形式对销售收入再分配。2022年上半年，12家公司协同维持的上述协议，因鑫丰、鸿大、德聚、盛博、顺风、优信等公司的开业而被迫中断执行。为拉拢新开业公司加入协议，</w:t>
      </w:r>
      <w:r>
        <w:rPr>
          <w:rFonts w:hint="eastAsia" w:ascii="宋体" w:hAnsi="宋体" w:eastAsia="仿宋_GB2312" w:cs="仿宋_GB2312"/>
          <w:color w:val="000000" w:themeColor="text1"/>
          <w:sz w:val="32"/>
          <w:szCs w:val="32"/>
          <w:lang w:eastAsia="zh-CN"/>
          <w14:textFill>
            <w14:solidFill>
              <w14:schemeClr w14:val="tx1"/>
            </w14:solidFill>
          </w14:textFill>
        </w:rPr>
        <w:t>当事人</w:t>
      </w:r>
      <w:r>
        <w:rPr>
          <w:rFonts w:hint="eastAsia" w:ascii="宋体" w:hAnsi="宋体" w:eastAsia="仿宋_GB2312" w:cs="仿宋_GB2312"/>
          <w:color w:val="000000" w:themeColor="text1"/>
          <w:sz w:val="32"/>
          <w:szCs w:val="32"/>
          <w14:textFill>
            <w14:solidFill>
              <w14:schemeClr w14:val="tx1"/>
            </w14:solidFill>
          </w14:textFill>
        </w:rPr>
        <w:t>多次采取会议、走访以及其他形式与各公司商讨如何继续协同。2022年8月1日</w:t>
      </w:r>
      <w:r>
        <w:rPr>
          <w:rFonts w:hint="eastAsia" w:ascii="宋体" w:hAnsi="宋体" w:eastAsia="仿宋_GB2312" w:cs="仿宋_GB2312"/>
          <w:color w:val="000000" w:themeColor="text1"/>
          <w:sz w:val="32"/>
          <w:szCs w:val="32"/>
          <w:lang w:eastAsia="zh-CN"/>
          <w14:textFill>
            <w14:solidFill>
              <w14:schemeClr w14:val="tx1"/>
            </w14:solidFill>
          </w14:textFill>
        </w:rPr>
        <w:t>当事人</w:t>
      </w:r>
      <w:r>
        <w:rPr>
          <w:rFonts w:hint="eastAsia" w:ascii="宋体" w:hAnsi="宋体" w:eastAsia="仿宋_GB2312" w:cs="仿宋_GB2312"/>
          <w:color w:val="000000" w:themeColor="text1"/>
          <w:sz w:val="32"/>
          <w:szCs w:val="32"/>
          <w14:textFill>
            <w14:solidFill>
              <w14:schemeClr w14:val="tx1"/>
            </w14:solidFill>
          </w14:textFill>
        </w:rPr>
        <w:t>组织会议，18家公司达成了统一将二手车交易服务费变更至趋同公示价格的协议。此次会议后当事人又多次组织会议以及其他形式巩固协议的实施。</w:t>
      </w:r>
    </w:p>
    <w:p>
      <w:pPr>
        <w:pStyle w:val="2"/>
        <w:keepNext w:val="0"/>
        <w:keepLines w:val="0"/>
        <w:pageBreakBefore w:val="0"/>
        <w:widowControl w:val="0"/>
        <w:kinsoku/>
        <w:wordWrap/>
        <w:overflowPunct w:val="0"/>
        <w:topLinePunct w:val="0"/>
        <w:autoSpaceDE/>
        <w:autoSpaceDN/>
        <w:bidi w:val="0"/>
        <w:spacing w:line="564" w:lineRule="exact"/>
        <w:ind w:firstLine="640"/>
        <w:textAlignment w:val="auto"/>
        <w:rPr>
          <w:rFonts w:ascii="宋体" w:hAnsi="宋体" w:eastAsia="仿宋_GB2312" w:cs="仿宋_GB2312"/>
          <w:color w:val="000000" w:themeColor="text1"/>
          <w:sz w:val="32"/>
          <w:szCs w:val="32"/>
          <w14:textFill>
            <w14:solidFill>
              <w14:schemeClr w14:val="tx1"/>
            </w14:solidFill>
          </w14:textFill>
        </w:rPr>
      </w:pPr>
      <w:r>
        <w:rPr>
          <w:rFonts w:hint="eastAsia" w:ascii="宋体" w:hAnsi="宋体" w:eastAsia="仿宋_GB2312" w:cs="仿宋_GB2312"/>
          <w:color w:val="000000" w:themeColor="text1"/>
          <w:sz w:val="32"/>
          <w:szCs w:val="32"/>
          <w14:textFill>
            <w14:solidFill>
              <w14:schemeClr w14:val="tx1"/>
            </w14:solidFill>
          </w14:textFill>
        </w:rPr>
        <w:t>上述事实，主要有以下证据证明：</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s="仿宋_GB2312"/>
          <w:color w:val="000000" w:themeColor="text1"/>
          <w:sz w:val="32"/>
          <w:szCs w:val="32"/>
          <w14:textFill>
            <w14:solidFill>
              <w14:schemeClr w14:val="tx1"/>
            </w14:solidFill>
          </w14:textFill>
        </w:rPr>
      </w:pPr>
      <w:r>
        <w:rPr>
          <w:rFonts w:hint="eastAsia" w:ascii="宋体" w:hAnsi="宋体" w:eastAsia="仿宋_GB2312" w:cs="仿宋_GB2312"/>
          <w:color w:val="000000" w:themeColor="text1"/>
          <w:sz w:val="32"/>
          <w:szCs w:val="32"/>
          <w14:textFill>
            <w14:solidFill>
              <w14:schemeClr w14:val="tx1"/>
            </w14:solidFill>
          </w14:textFill>
        </w:rPr>
        <w:t>第一组证据：当事人社会团体法人登记证书（副本）复印件、法定代表人身份证复印件、协会章程、会员单位名单、各公司的营业执照复印件。证明当事人作为焦作市二手车流通行业协会的主体资格，以及二手车交易市场公司是从事二手车交易服务的具有竞争关系的经营者。</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s="仿宋_GB2312"/>
          <w:color w:val="000000" w:themeColor="text1"/>
          <w:sz w:val="32"/>
          <w:szCs w:val="32"/>
          <w14:textFill>
            <w14:solidFill>
              <w14:schemeClr w14:val="tx1"/>
            </w14:solidFill>
          </w14:textFill>
        </w:rPr>
      </w:pPr>
      <w:r>
        <w:rPr>
          <w:rFonts w:hint="eastAsia" w:ascii="宋体" w:hAnsi="宋体" w:eastAsia="仿宋_GB2312" w:cs="仿宋_GB2312"/>
          <w:color w:val="000000" w:themeColor="text1"/>
          <w:sz w:val="32"/>
          <w:szCs w:val="32"/>
          <w14:textFill>
            <w14:solidFill>
              <w14:schemeClr w14:val="tx1"/>
            </w14:solidFill>
          </w14:textFill>
        </w:rPr>
        <w:t>第二组证据：恒桥、安驰、东城、通大、启汇、警源、富捷、路安、路通、源通等公司交纳会费、行业自律保证金的收据、转账凭证等复印件，证明各公司是当事人会员资格并按照当事人要求交纳了保证金。</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s="仿宋_GB2312"/>
          <w:color w:val="000000" w:themeColor="text1"/>
          <w:sz w:val="32"/>
          <w:szCs w:val="32"/>
          <w14:textFill>
            <w14:solidFill>
              <w14:schemeClr w14:val="tx1"/>
            </w14:solidFill>
          </w14:textFill>
        </w:rPr>
      </w:pPr>
      <w:r>
        <w:rPr>
          <w:rFonts w:hint="eastAsia" w:ascii="宋体" w:hAnsi="宋体" w:eastAsia="仿宋_GB2312" w:cs="仿宋_GB2312"/>
          <w:color w:val="000000" w:themeColor="text1"/>
          <w:sz w:val="32"/>
          <w:szCs w:val="32"/>
          <w14:textFill>
            <w14:solidFill>
              <w14:schemeClr w14:val="tx1"/>
            </w14:solidFill>
          </w14:textFill>
        </w:rPr>
        <w:t>第三组证据：恒桥、安驰、东城、通大、启汇、警源、富捷、路安、路通、源通、德聚、顺风、优信等公司公示的二手车交易服务费标准，证明各公司所执行的公示价格趋同。</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s="仿宋_GB2312"/>
          <w:color w:val="000000" w:themeColor="text1"/>
          <w:sz w:val="32"/>
          <w:szCs w:val="32"/>
          <w14:textFill>
            <w14:solidFill>
              <w14:schemeClr w14:val="tx1"/>
            </w14:solidFill>
          </w14:textFill>
        </w:rPr>
      </w:pPr>
      <w:r>
        <w:rPr>
          <w:rFonts w:hint="eastAsia" w:ascii="宋体" w:hAnsi="宋体" w:eastAsia="仿宋_GB2312" w:cs="仿宋_GB2312"/>
          <w:color w:val="000000" w:themeColor="text1"/>
          <w:sz w:val="32"/>
          <w:szCs w:val="32"/>
          <w14:textFill>
            <w14:solidFill>
              <w14:schemeClr w14:val="tx1"/>
            </w14:solidFill>
          </w14:textFill>
        </w:rPr>
        <w:t>第四组证据：安驰、警源、通大、富捷、瑞轩、天赐、路安、路通、源通等公司与当事人资金往来的单据、票证、情况说明等，证明当事人</w:t>
      </w:r>
      <w:r>
        <w:rPr>
          <w:rFonts w:hint="eastAsia" w:ascii="宋体" w:hAnsi="宋体" w:eastAsia="仿宋_GB2312" w:cs="仿宋_GB2312"/>
          <w:color w:val="000000" w:themeColor="text1"/>
          <w:sz w:val="32"/>
          <w:szCs w:val="32"/>
          <w:lang w:eastAsia="zh-CN"/>
          <w14:textFill>
            <w14:solidFill>
              <w14:schemeClr w14:val="tx1"/>
            </w14:solidFill>
          </w14:textFill>
        </w:rPr>
        <w:t>组织各公司</w:t>
      </w:r>
      <w:r>
        <w:rPr>
          <w:rFonts w:hint="eastAsia" w:ascii="宋体" w:hAnsi="宋体" w:eastAsia="仿宋_GB2312" w:cs="仿宋_GB2312"/>
          <w:color w:val="000000" w:themeColor="text1"/>
          <w:sz w:val="32"/>
          <w:szCs w:val="32"/>
          <w14:textFill>
            <w14:solidFill>
              <w14:schemeClr w14:val="tx1"/>
            </w14:solidFill>
          </w14:textFill>
        </w:rPr>
        <w:t>实施了分割销售市场的协议。</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s="仿宋_GB2312"/>
          <w:color w:val="000000" w:themeColor="text1"/>
          <w:sz w:val="32"/>
          <w:szCs w:val="32"/>
          <w14:textFill>
            <w14:solidFill>
              <w14:schemeClr w14:val="tx1"/>
            </w14:solidFill>
          </w14:textFill>
        </w:rPr>
      </w:pPr>
      <w:r>
        <w:rPr>
          <w:rFonts w:hint="eastAsia" w:ascii="宋体" w:hAnsi="宋体" w:eastAsia="仿宋_GB2312" w:cs="仿宋_GB2312"/>
          <w:color w:val="000000" w:themeColor="text1"/>
          <w:sz w:val="32"/>
          <w:szCs w:val="32"/>
          <w14:textFill>
            <w14:solidFill>
              <w14:schemeClr w14:val="tx1"/>
            </w14:solidFill>
          </w14:textFill>
        </w:rPr>
        <w:t>第五组证据：恒桥、安驰、东城、通大、启汇、警源、富捷、路安、路通、源通、鑫丰、鸿大、德聚、盛博、顺风、优信等公司相关销售台账、统计表等，证明当事人</w:t>
      </w:r>
      <w:r>
        <w:rPr>
          <w:rFonts w:hint="eastAsia" w:ascii="宋体" w:hAnsi="宋体" w:eastAsia="仿宋_GB2312" w:cs="仿宋_GB2312"/>
          <w:color w:val="000000" w:themeColor="text1"/>
          <w:sz w:val="32"/>
          <w:szCs w:val="32"/>
          <w:lang w:eastAsia="zh-CN"/>
          <w14:textFill>
            <w14:solidFill>
              <w14:schemeClr w14:val="tx1"/>
            </w14:solidFill>
          </w14:textFill>
        </w:rPr>
        <w:t>组织</w:t>
      </w:r>
      <w:r>
        <w:rPr>
          <w:rFonts w:hint="eastAsia" w:ascii="宋体" w:hAnsi="宋体" w:eastAsia="仿宋_GB2312" w:cs="仿宋_GB2312"/>
          <w:color w:val="000000" w:themeColor="text1"/>
          <w:sz w:val="32"/>
          <w:szCs w:val="32"/>
          <w14:textFill>
            <w14:solidFill>
              <w14:schemeClr w14:val="tx1"/>
            </w14:solidFill>
          </w14:textFill>
        </w:rPr>
        <w:t>实施了固定或者变更</w:t>
      </w:r>
      <w:r>
        <w:rPr>
          <w:rFonts w:hint="eastAsia" w:ascii="宋体" w:hAnsi="宋体" w:eastAsia="仿宋_GB2312" w:cs="仿宋_GB2312"/>
          <w:color w:val="000000" w:themeColor="text1"/>
          <w:sz w:val="32"/>
          <w:szCs w:val="32"/>
          <w:lang w:eastAsia="zh-CN"/>
          <w14:textFill>
            <w14:solidFill>
              <w14:schemeClr w14:val="tx1"/>
            </w14:solidFill>
          </w14:textFill>
        </w:rPr>
        <w:t>商品</w:t>
      </w:r>
      <w:r>
        <w:rPr>
          <w:rFonts w:hint="eastAsia" w:ascii="宋体" w:hAnsi="宋体" w:eastAsia="仿宋_GB2312" w:cs="仿宋_GB2312"/>
          <w:color w:val="000000" w:themeColor="text1"/>
          <w:sz w:val="32"/>
          <w:szCs w:val="32"/>
          <w14:textFill>
            <w14:solidFill>
              <w14:schemeClr w14:val="tx1"/>
            </w14:solidFill>
          </w14:textFill>
        </w:rPr>
        <w:t>价格的事实。</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s="仿宋_GB2312"/>
          <w:color w:val="000000" w:themeColor="text1"/>
          <w:sz w:val="32"/>
          <w:szCs w:val="32"/>
          <w14:textFill>
            <w14:solidFill>
              <w14:schemeClr w14:val="tx1"/>
            </w14:solidFill>
          </w14:textFill>
        </w:rPr>
      </w:pPr>
      <w:r>
        <w:rPr>
          <w:rFonts w:hint="eastAsia" w:ascii="宋体" w:hAnsi="宋体" w:eastAsia="仿宋_GB2312" w:cs="仿宋_GB2312"/>
          <w:color w:val="000000" w:themeColor="text1"/>
          <w:sz w:val="32"/>
          <w:szCs w:val="32"/>
          <w14:textFill>
            <w14:solidFill>
              <w14:schemeClr w14:val="tx1"/>
            </w14:solidFill>
          </w14:textFill>
        </w:rPr>
        <w:t>第六组证据：当事人法定代表人的相关工作总结、报告，证明当事人组织各公司达成并实施固定或者变更</w:t>
      </w:r>
      <w:r>
        <w:rPr>
          <w:rFonts w:hint="eastAsia" w:ascii="宋体" w:hAnsi="宋体" w:eastAsia="仿宋_GB2312" w:cs="仿宋_GB2312"/>
          <w:color w:val="000000" w:themeColor="text1"/>
          <w:sz w:val="32"/>
          <w:szCs w:val="32"/>
          <w:lang w:eastAsia="zh-CN"/>
          <w14:textFill>
            <w14:solidFill>
              <w14:schemeClr w14:val="tx1"/>
            </w14:solidFill>
          </w14:textFill>
        </w:rPr>
        <w:t>商品</w:t>
      </w:r>
      <w:r>
        <w:rPr>
          <w:rFonts w:hint="eastAsia" w:ascii="宋体" w:hAnsi="宋体" w:eastAsia="仿宋_GB2312" w:cs="仿宋_GB2312"/>
          <w:color w:val="000000" w:themeColor="text1"/>
          <w:sz w:val="32"/>
          <w:szCs w:val="32"/>
          <w14:textFill>
            <w14:solidFill>
              <w14:schemeClr w14:val="tx1"/>
            </w14:solidFill>
          </w14:textFill>
        </w:rPr>
        <w:t>价格的事实。</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s="仿宋_GB2312"/>
          <w:color w:val="000000" w:themeColor="text1"/>
          <w:sz w:val="32"/>
          <w:szCs w:val="32"/>
          <w14:textFill>
            <w14:solidFill>
              <w14:schemeClr w14:val="tx1"/>
            </w14:solidFill>
          </w14:textFill>
        </w:rPr>
      </w:pPr>
      <w:r>
        <w:rPr>
          <w:rFonts w:hint="eastAsia" w:ascii="宋体" w:hAnsi="宋体" w:eastAsia="仿宋_GB2312" w:cs="仿宋_GB2312"/>
          <w:color w:val="000000" w:themeColor="text1"/>
          <w:sz w:val="32"/>
          <w:szCs w:val="32"/>
          <w14:textFill>
            <w14:solidFill>
              <w14:schemeClr w14:val="tx1"/>
            </w14:solidFill>
          </w14:textFill>
        </w:rPr>
        <w:t>第七组证据：当事人有关负责人与各公司有关负责人的微信聊天记录，证明当事人组织各公司达成并实施了固定或者变更</w:t>
      </w:r>
      <w:r>
        <w:rPr>
          <w:rFonts w:hint="eastAsia" w:ascii="宋体" w:hAnsi="宋体" w:eastAsia="仿宋_GB2312" w:cs="仿宋_GB2312"/>
          <w:color w:val="000000" w:themeColor="text1"/>
          <w:sz w:val="32"/>
          <w:szCs w:val="32"/>
          <w:lang w:eastAsia="zh-CN"/>
          <w14:textFill>
            <w14:solidFill>
              <w14:schemeClr w14:val="tx1"/>
            </w14:solidFill>
          </w14:textFill>
        </w:rPr>
        <w:t>商品</w:t>
      </w:r>
      <w:r>
        <w:rPr>
          <w:rFonts w:hint="eastAsia" w:ascii="宋体" w:hAnsi="宋体" w:eastAsia="仿宋_GB2312" w:cs="仿宋_GB2312"/>
          <w:color w:val="000000" w:themeColor="text1"/>
          <w:sz w:val="32"/>
          <w:szCs w:val="32"/>
          <w14:textFill>
            <w14:solidFill>
              <w14:schemeClr w14:val="tx1"/>
            </w14:solidFill>
          </w14:textFill>
        </w:rPr>
        <w:t>价格、分割销售市场的事实。</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s="仿宋_GB2312"/>
          <w:color w:val="000000" w:themeColor="text1"/>
          <w:sz w:val="32"/>
          <w:szCs w:val="32"/>
          <w14:textFill>
            <w14:solidFill>
              <w14:schemeClr w14:val="tx1"/>
            </w14:solidFill>
          </w14:textFill>
        </w:rPr>
      </w:pPr>
      <w:r>
        <w:rPr>
          <w:rFonts w:hint="eastAsia" w:ascii="宋体" w:hAnsi="宋体" w:eastAsia="仿宋_GB2312" w:cs="仿宋_GB2312"/>
          <w:color w:val="000000" w:themeColor="text1"/>
          <w:sz w:val="32"/>
          <w:szCs w:val="32"/>
          <w14:textFill>
            <w14:solidFill>
              <w14:schemeClr w14:val="tx1"/>
            </w14:solidFill>
          </w14:textFill>
        </w:rPr>
        <w:t>第八组证据：恒桥、安驰、东城、通大、启汇、警源、富捷、路安、路通、源通、鑫丰、鸿大、德聚、盛博、顺风、优信等公司有关负责人的询问笔录，证明当事人组织各公司达成并实施了固定或者变更</w:t>
      </w:r>
      <w:r>
        <w:rPr>
          <w:rFonts w:hint="eastAsia" w:ascii="宋体" w:hAnsi="宋体" w:eastAsia="仿宋_GB2312" w:cs="仿宋_GB2312"/>
          <w:color w:val="000000" w:themeColor="text1"/>
          <w:sz w:val="32"/>
          <w:szCs w:val="32"/>
          <w:lang w:eastAsia="zh-CN"/>
          <w14:textFill>
            <w14:solidFill>
              <w14:schemeClr w14:val="tx1"/>
            </w14:solidFill>
          </w14:textFill>
        </w:rPr>
        <w:t>商品</w:t>
      </w:r>
      <w:r>
        <w:rPr>
          <w:rFonts w:hint="eastAsia" w:ascii="宋体" w:hAnsi="宋体" w:eastAsia="仿宋_GB2312" w:cs="仿宋_GB2312"/>
          <w:color w:val="000000" w:themeColor="text1"/>
          <w:sz w:val="32"/>
          <w:szCs w:val="32"/>
          <w14:textFill>
            <w14:solidFill>
              <w14:schemeClr w14:val="tx1"/>
            </w14:solidFill>
          </w14:textFill>
        </w:rPr>
        <w:t>价格、分割销售市场的事实。</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s="仿宋_GB2312"/>
          <w:color w:val="000000" w:themeColor="text1"/>
          <w:sz w:val="32"/>
          <w:szCs w:val="32"/>
          <w14:textFill>
            <w14:solidFill>
              <w14:schemeClr w14:val="tx1"/>
            </w14:solidFill>
          </w14:textFill>
        </w:rPr>
      </w:pPr>
      <w:r>
        <w:rPr>
          <w:rFonts w:hint="eastAsia" w:ascii="宋体" w:hAnsi="宋体" w:eastAsia="仿宋_GB2312" w:cs="仿宋_GB2312"/>
          <w:color w:val="000000" w:themeColor="text1"/>
          <w:sz w:val="32"/>
          <w:szCs w:val="32"/>
          <w14:textFill>
            <w14:solidFill>
              <w14:schemeClr w14:val="tx1"/>
            </w14:solidFill>
          </w14:textFill>
        </w:rPr>
        <w:t>第九组证据：安驰、恒桥、警源、启汇、顺风等公司市场内商户的调查资料，证明当事人组织各公司达成并实施了固定或者变更</w:t>
      </w:r>
      <w:r>
        <w:rPr>
          <w:rFonts w:hint="eastAsia" w:ascii="宋体" w:hAnsi="宋体" w:eastAsia="仿宋_GB2312" w:cs="仿宋_GB2312"/>
          <w:color w:val="000000" w:themeColor="text1"/>
          <w:sz w:val="32"/>
          <w:szCs w:val="32"/>
          <w:lang w:eastAsia="zh-CN"/>
          <w14:textFill>
            <w14:solidFill>
              <w14:schemeClr w14:val="tx1"/>
            </w14:solidFill>
          </w14:textFill>
        </w:rPr>
        <w:t>商品</w:t>
      </w:r>
      <w:r>
        <w:rPr>
          <w:rFonts w:hint="eastAsia" w:ascii="宋体" w:hAnsi="宋体" w:eastAsia="仿宋_GB2312" w:cs="仿宋_GB2312"/>
          <w:color w:val="000000" w:themeColor="text1"/>
          <w:sz w:val="32"/>
          <w:szCs w:val="32"/>
          <w14:textFill>
            <w14:solidFill>
              <w14:schemeClr w14:val="tx1"/>
            </w14:solidFill>
          </w14:textFill>
        </w:rPr>
        <w:t>价格的事实以及对商户的影响。</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hint="eastAsia" w:ascii="宋体" w:hAnsi="宋体" w:eastAsia="黑体" w:cs="黑体"/>
          <w:color w:val="000000" w:themeColor="text1"/>
          <w:sz w:val="32"/>
          <w:szCs w:val="32"/>
          <w:lang w:eastAsia="zh-CN"/>
          <w14:textFill>
            <w14:solidFill>
              <w14:schemeClr w14:val="tx1"/>
            </w14:solidFill>
          </w14:textFill>
        </w:rPr>
      </w:pPr>
      <w:r>
        <w:rPr>
          <w:rFonts w:hint="eastAsia" w:ascii="宋体" w:hAnsi="宋体" w:eastAsia="黑体" w:cs="黑体"/>
          <w:color w:val="000000" w:themeColor="text1"/>
          <w:sz w:val="32"/>
          <w:szCs w:val="32"/>
          <w14:textFill>
            <w14:solidFill>
              <w14:schemeClr w14:val="tx1"/>
            </w14:solidFill>
          </w14:textFill>
        </w:rPr>
        <w:t>四、行政处罚依据及</w:t>
      </w:r>
      <w:r>
        <w:rPr>
          <w:rFonts w:hint="eastAsia" w:ascii="宋体" w:hAnsi="宋体" w:eastAsia="黑体" w:cs="黑体"/>
          <w:color w:val="000000" w:themeColor="text1"/>
          <w:sz w:val="32"/>
          <w:szCs w:val="32"/>
          <w:lang w:eastAsia="zh-CN"/>
          <w14:textFill>
            <w14:solidFill>
              <w14:schemeClr w14:val="tx1"/>
            </w14:solidFill>
          </w14:textFill>
        </w:rPr>
        <w:t>决定</w:t>
      </w:r>
    </w:p>
    <w:p>
      <w:pPr>
        <w:keepNext w:val="0"/>
        <w:keepLines w:val="0"/>
        <w:pageBreakBefore w:val="0"/>
        <w:widowControl w:val="0"/>
        <w:kinsoku/>
        <w:wordWrap/>
        <w:overflowPunct w:val="0"/>
        <w:topLinePunct w:val="0"/>
        <w:autoSpaceDE/>
        <w:autoSpaceDN/>
        <w:bidi w:val="0"/>
        <w:adjustRightInd w:val="0"/>
        <w:snapToGrid w:val="0"/>
        <w:spacing w:line="564" w:lineRule="exact"/>
        <w:ind w:firstLine="640" w:firstLineChars="200"/>
        <w:textAlignment w:val="auto"/>
        <w:rPr>
          <w:rFonts w:ascii="宋体" w:hAnsi="宋体" w:eastAsia="仿宋_GB2312" w:cs="仿宋_GB2312"/>
          <w:color w:val="000000" w:themeColor="text1"/>
          <w:sz w:val="32"/>
          <w:szCs w:val="32"/>
          <w14:textFill>
            <w14:solidFill>
              <w14:schemeClr w14:val="tx1"/>
            </w14:solidFill>
          </w14:textFill>
        </w:rPr>
      </w:pPr>
      <w:r>
        <w:rPr>
          <w:rFonts w:hint="eastAsia" w:ascii="宋体" w:hAnsi="宋体" w:eastAsia="仿宋_GB2312" w:cs="仿宋_GB2312"/>
          <w:color w:val="000000" w:themeColor="text1"/>
          <w:sz w:val="32"/>
          <w:szCs w:val="32"/>
          <w14:textFill>
            <w14:solidFill>
              <w14:schemeClr w14:val="tx1"/>
            </w14:solidFill>
          </w14:textFill>
        </w:rPr>
        <w:t>本机关认定，当事人的上述行为排除、限制了市场竞争，损害了消费者利益和社会公共利益，违反了《中华人民共和国反垄断法》第二十一条“行业协会不得组织本行业的经营者从事本章禁止的垄断行为”之规定。根据《中华人民共和国反垄断法》第五十六条、第五十九条以及《中华人民共和国行政处罚法》第三十二条、第三十三条有关规定，同时考虑到当事人违法行为的性质、程度和持续时间等因素，</w:t>
      </w:r>
      <w:r>
        <w:rPr>
          <w:rFonts w:ascii="宋体" w:hAnsi="宋体" w:eastAsia="仿宋_GB2312"/>
          <w:color w:val="000000" w:themeColor="text1"/>
          <w:sz w:val="32"/>
          <w:szCs w:val="32"/>
          <w14:textFill>
            <w14:solidFill>
              <w14:schemeClr w14:val="tx1"/>
            </w14:solidFill>
          </w14:textFill>
        </w:rPr>
        <w:t>本机关决定</w:t>
      </w:r>
      <w:r>
        <w:rPr>
          <w:rFonts w:hint="eastAsia" w:ascii="宋体" w:hAnsi="宋体" w:eastAsia="仿宋_GB2312" w:cs="仿宋_GB2312"/>
          <w:color w:val="000000" w:themeColor="text1"/>
          <w:sz w:val="32"/>
          <w:szCs w:val="32"/>
          <w14:textFill>
            <w14:solidFill>
              <w14:schemeClr w14:val="tx1"/>
            </w14:solidFill>
          </w14:textFill>
        </w:rPr>
        <w:t>对当事人作出如下处理：</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s="仿宋_GB2312"/>
          <w:color w:val="000000" w:themeColor="text1"/>
          <w:sz w:val="32"/>
          <w:szCs w:val="32"/>
          <w14:textFill>
            <w14:solidFill>
              <w14:schemeClr w14:val="tx1"/>
            </w14:solidFill>
          </w14:textFill>
        </w:rPr>
      </w:pPr>
      <w:r>
        <w:rPr>
          <w:rFonts w:hint="eastAsia" w:ascii="宋体" w:hAnsi="宋体" w:eastAsia="仿宋_GB2312" w:cs="仿宋_GB2312"/>
          <w:color w:val="000000" w:themeColor="text1"/>
          <w:sz w:val="32"/>
          <w:szCs w:val="32"/>
          <w14:textFill>
            <w14:solidFill>
              <w14:schemeClr w14:val="tx1"/>
            </w14:solidFill>
          </w14:textFill>
        </w:rPr>
        <w:t>（一）责令停止违法行为；</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s="仿宋_GB2312"/>
          <w:color w:val="000000" w:themeColor="text1"/>
          <w:sz w:val="32"/>
          <w:szCs w:val="32"/>
          <w14:textFill>
            <w14:solidFill>
              <w14:schemeClr w14:val="tx1"/>
            </w14:solidFill>
          </w14:textFill>
        </w:rPr>
      </w:pPr>
      <w:r>
        <w:rPr>
          <w:rFonts w:hint="eastAsia" w:ascii="宋体" w:hAnsi="宋体" w:eastAsia="仿宋_GB2312" w:cs="仿宋_GB2312"/>
          <w:color w:val="000000" w:themeColor="text1"/>
          <w:sz w:val="32"/>
          <w:szCs w:val="32"/>
          <w14:textFill>
            <w14:solidFill>
              <w14:schemeClr w14:val="tx1"/>
            </w14:solidFill>
          </w14:textFill>
        </w:rPr>
        <w:t>（二）罚款</w:t>
      </w:r>
      <w:r>
        <w:rPr>
          <w:rFonts w:hint="eastAsia" w:ascii="宋体" w:hAnsi="宋体" w:eastAsia="仿宋" w:cs="仿宋"/>
          <w:color w:val="000000" w:themeColor="text1"/>
          <w:sz w:val="32"/>
          <w:szCs w:val="32"/>
          <w14:textFill>
            <w14:solidFill>
              <w14:schemeClr w14:val="tx1"/>
            </w14:solidFill>
          </w14:textFill>
        </w:rPr>
        <w:t>300000.00</w:t>
      </w:r>
      <w:r>
        <w:rPr>
          <w:rFonts w:hint="eastAsia" w:ascii="宋体" w:hAnsi="宋体" w:eastAsia="仿宋_GB2312" w:cs="仿宋_GB2312"/>
          <w:color w:val="000000" w:themeColor="text1"/>
          <w:sz w:val="32"/>
          <w:szCs w:val="32"/>
          <w14:textFill>
            <w14:solidFill>
              <w14:schemeClr w14:val="tx1"/>
            </w14:solidFill>
          </w14:textFill>
        </w:rPr>
        <w:t>元（大写：人民币叁拾万元整）。</w:t>
      </w:r>
    </w:p>
    <w:p>
      <w:pPr>
        <w:keepNext w:val="0"/>
        <w:keepLines w:val="0"/>
        <w:pageBreakBefore w:val="0"/>
        <w:widowControl w:val="0"/>
        <w:kinsoku/>
        <w:wordWrap/>
        <w:overflowPunct w:val="0"/>
        <w:topLinePunct w:val="0"/>
        <w:autoSpaceDE/>
        <w:autoSpaceDN/>
        <w:bidi w:val="0"/>
        <w:adjustRightInd w:val="0"/>
        <w:snapToGrid w:val="0"/>
        <w:spacing w:line="564" w:lineRule="exact"/>
        <w:ind w:firstLine="640" w:firstLineChars="200"/>
        <w:textAlignment w:val="auto"/>
        <w:rPr>
          <w:rFonts w:ascii="宋体" w:hAnsi="宋体" w:eastAsia="仿宋_GB2312" w:cs="仿宋_GB2312"/>
          <w:color w:val="000000" w:themeColor="text1"/>
          <w:sz w:val="32"/>
          <w:szCs w:val="32"/>
          <w14:textFill>
            <w14:solidFill>
              <w14:schemeClr w14:val="tx1"/>
            </w14:solidFill>
          </w14:textFill>
        </w:rPr>
      </w:pPr>
      <w:r>
        <w:rPr>
          <w:rFonts w:ascii="宋体" w:hAnsi="宋体" w:eastAsia="仿宋_GB2312"/>
          <w:color w:val="000000" w:themeColor="text1"/>
          <w:sz w:val="32"/>
          <w:szCs w:val="32"/>
          <w14:textFill>
            <w14:solidFill>
              <w14:schemeClr w14:val="tx1"/>
            </w14:solidFill>
          </w14:textFill>
        </w:rPr>
        <w:t>当事人应当自收到本行政处罚决定书之日起十五日内，</w:t>
      </w:r>
      <w:r>
        <w:rPr>
          <w:rFonts w:hint="eastAsia" w:ascii="宋体" w:hAnsi="宋体" w:eastAsia="仿宋_GB2312" w:cs="仿宋_GB2312"/>
          <w:color w:val="000000" w:themeColor="text1"/>
          <w:sz w:val="32"/>
          <w:szCs w:val="32"/>
          <w14:textFill>
            <w14:solidFill>
              <w14:schemeClr w14:val="tx1"/>
            </w14:solidFill>
          </w14:textFill>
        </w:rPr>
        <w:t>将罚款缴至河南省财政厅非税收入财政专户。根据《中华人民共和国行政处罚法》第七十二条规定，当事人逾期不履行行政处罚决定的，本机关可以采取以下措施：（一）到期不缴纳罚款的，每日按罚款数额的百分之三加处罚款；（二）申请人民法院强制执行。</w:t>
      </w:r>
    </w:p>
    <w:p>
      <w:pPr>
        <w:keepNext w:val="0"/>
        <w:keepLines w:val="0"/>
        <w:pageBreakBefore w:val="0"/>
        <w:widowControl w:val="0"/>
        <w:kinsoku/>
        <w:wordWrap/>
        <w:overflowPunct w:val="0"/>
        <w:topLinePunct w:val="0"/>
        <w:autoSpaceDE/>
        <w:autoSpaceDN/>
        <w:bidi w:val="0"/>
        <w:adjustRightInd w:val="0"/>
        <w:snapToGrid w:val="0"/>
        <w:spacing w:line="564" w:lineRule="exact"/>
        <w:ind w:firstLine="640" w:firstLineChars="200"/>
        <w:textAlignment w:val="auto"/>
        <w:rPr>
          <w:rFonts w:ascii="宋体" w:hAnsi="宋体" w:eastAsia="仿宋_GB2312" w:cs="仿宋_GB2312"/>
          <w:color w:val="000000" w:themeColor="text1"/>
          <w:sz w:val="32"/>
          <w:szCs w:val="32"/>
          <w14:textFill>
            <w14:solidFill>
              <w14:schemeClr w14:val="tx1"/>
            </w14:solidFill>
          </w14:textFill>
        </w:rPr>
      </w:pPr>
      <w:r>
        <w:rPr>
          <w:rFonts w:hint="eastAsia" w:ascii="宋体" w:hAnsi="宋体" w:eastAsia="仿宋_GB2312" w:cs="仿宋_GB2312"/>
          <w:color w:val="000000" w:themeColor="text1"/>
          <w:sz w:val="32"/>
          <w:szCs w:val="32"/>
          <w14:textFill>
            <w14:solidFill>
              <w14:schemeClr w14:val="tx1"/>
            </w14:solidFill>
          </w14:textFill>
        </w:rPr>
        <w:t>户    名：河南省财政厅非税收入财政专户</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s="仿宋"/>
          <w:color w:val="000000" w:themeColor="text1"/>
          <w:sz w:val="32"/>
          <w:szCs w:val="32"/>
          <w14:textFill>
            <w14:solidFill>
              <w14:schemeClr w14:val="tx1"/>
            </w14:solidFill>
          </w14:textFill>
        </w:rPr>
      </w:pPr>
      <w:r>
        <w:rPr>
          <w:rFonts w:hint="eastAsia" w:ascii="宋体" w:hAnsi="宋体" w:eastAsia="仿宋_GB2312" w:cs="仿宋_GB2312"/>
          <w:color w:val="000000" w:themeColor="text1"/>
          <w:sz w:val="32"/>
          <w:szCs w:val="32"/>
          <w14:textFill>
            <w14:solidFill>
              <w14:schemeClr w14:val="tx1"/>
            </w14:solidFill>
          </w14:textFill>
        </w:rPr>
        <w:t>帐    号：</w:t>
      </w:r>
      <w:r>
        <w:rPr>
          <w:rFonts w:hint="eastAsia" w:ascii="宋体" w:hAnsi="宋体" w:eastAsia="仿宋_GB2312" w:cs="仿宋"/>
          <w:color w:val="000000" w:themeColor="text1"/>
          <w:sz w:val="32"/>
          <w:szCs w:val="32"/>
          <w14:textFill>
            <w14:solidFill>
              <w14:schemeClr w14:val="tx1"/>
            </w14:solidFill>
          </w14:textFill>
        </w:rPr>
        <w:t>419901010150009501</w:t>
      </w:r>
    </w:p>
    <w:p>
      <w:pPr>
        <w:keepNext w:val="0"/>
        <w:keepLines w:val="0"/>
        <w:pageBreakBefore w:val="0"/>
        <w:widowControl w:val="0"/>
        <w:kinsoku/>
        <w:wordWrap/>
        <w:overflowPunct w:val="0"/>
        <w:topLinePunct w:val="0"/>
        <w:autoSpaceDE/>
        <w:autoSpaceDN/>
        <w:bidi w:val="0"/>
        <w:spacing w:line="564" w:lineRule="exact"/>
        <w:ind w:firstLine="640" w:firstLineChars="200"/>
        <w:textAlignment w:val="auto"/>
        <w:rPr>
          <w:rFonts w:ascii="宋体" w:hAnsi="宋体" w:eastAsia="仿宋_GB2312" w:cs="仿宋_GB2312"/>
          <w:color w:val="000000" w:themeColor="text1"/>
          <w:sz w:val="32"/>
          <w:szCs w:val="32"/>
          <w14:textFill>
            <w14:solidFill>
              <w14:schemeClr w14:val="tx1"/>
            </w14:solidFill>
          </w14:textFill>
        </w:rPr>
      </w:pPr>
      <w:r>
        <w:rPr>
          <w:rFonts w:hint="eastAsia" w:ascii="宋体" w:hAnsi="宋体" w:eastAsia="仿宋_GB2312" w:cs="仿宋"/>
          <w:color w:val="000000" w:themeColor="text1"/>
          <w:sz w:val="32"/>
          <w:szCs w:val="32"/>
          <w14:textFill>
            <w14:solidFill>
              <w14:schemeClr w14:val="tx1"/>
            </w14:solidFill>
          </w14:textFill>
        </w:rPr>
        <w:t>开 户 行：中原银行郑州商务外环</w:t>
      </w:r>
      <w:r>
        <w:rPr>
          <w:rFonts w:hint="eastAsia" w:ascii="宋体" w:hAnsi="宋体" w:eastAsia="仿宋_GB2312" w:cs="仿宋_GB2312"/>
          <w:color w:val="000000" w:themeColor="text1"/>
          <w:sz w:val="32"/>
          <w:szCs w:val="32"/>
          <w14:textFill>
            <w14:solidFill>
              <w14:schemeClr w14:val="tx1"/>
            </w14:solidFill>
          </w14:textFill>
        </w:rPr>
        <w:t>路支行</w:t>
      </w:r>
    </w:p>
    <w:p>
      <w:pPr>
        <w:keepNext w:val="0"/>
        <w:keepLines w:val="0"/>
        <w:pageBreakBefore w:val="0"/>
        <w:widowControl w:val="0"/>
        <w:kinsoku/>
        <w:wordWrap/>
        <w:overflowPunct w:val="0"/>
        <w:topLinePunct w:val="0"/>
        <w:autoSpaceDE/>
        <w:autoSpaceDN/>
        <w:bidi w:val="0"/>
        <w:adjustRightInd w:val="0"/>
        <w:snapToGrid w:val="0"/>
        <w:spacing w:line="564" w:lineRule="exact"/>
        <w:ind w:firstLine="640" w:firstLineChars="200"/>
        <w:textAlignment w:val="auto"/>
        <w:rPr>
          <w:rFonts w:hint="eastAsia" w:ascii="宋体" w:hAnsi="宋体" w:eastAsia="仿宋_GB2312" w:cs="仿宋_GB2312"/>
          <w:color w:val="000000" w:themeColor="text1"/>
          <w:sz w:val="32"/>
          <w:szCs w:val="32"/>
          <w14:textFill>
            <w14:solidFill>
              <w14:schemeClr w14:val="tx1"/>
            </w14:solidFill>
          </w14:textFill>
        </w:rPr>
      </w:pPr>
      <w:r>
        <w:rPr>
          <w:rFonts w:hint="eastAsia" w:ascii="宋体" w:hAnsi="宋体" w:eastAsia="仿宋_GB2312" w:cs="仿宋_GB2312"/>
          <w:color w:val="000000" w:themeColor="text1"/>
          <w:sz w:val="32"/>
          <w:szCs w:val="32"/>
          <w14:textFill>
            <w14:solidFill>
              <w14:schemeClr w14:val="tx1"/>
            </w14:solidFill>
          </w14:textFill>
        </w:rPr>
        <w:t>当事人如对上述行政处罚决定不服，可以自收到本行政处罚决定书之日起六十日内向国家市场监督管理总局或者河南省人民政府申请行政复议；或者自收到本行政处罚决定书之日起六个月内，依法向人民法院提起行政诉讼。行政复议或者行政诉讼期间，本行政处罚决定不停止执行。</w:t>
      </w:r>
    </w:p>
    <w:p>
      <w:pPr>
        <w:pStyle w:val="2"/>
        <w:rPr>
          <w:rFonts w:hint="eastAsia" w:ascii="宋体" w:hAnsi="宋体" w:eastAsia="仿宋_GB2312" w:cs="仿宋_GB2312"/>
          <w:color w:val="000000" w:themeColor="text1"/>
          <w:sz w:val="32"/>
          <w:szCs w:val="32"/>
          <w14:textFill>
            <w14:solidFill>
              <w14:schemeClr w14:val="tx1"/>
            </w14:solidFill>
          </w14:textFill>
        </w:rPr>
      </w:pPr>
    </w:p>
    <w:p>
      <w:pPr>
        <w:pStyle w:val="2"/>
        <w:rPr>
          <w:rFonts w:hint="eastAsia" w:ascii="宋体" w:hAnsi="宋体" w:eastAsia="仿宋_GB2312" w:cs="仿宋_GB2312"/>
          <w:color w:val="000000" w:themeColor="text1"/>
          <w:sz w:val="32"/>
          <w:szCs w:val="32"/>
          <w14:textFill>
            <w14:solidFill>
              <w14:schemeClr w14:val="tx1"/>
            </w14:solidFill>
          </w14:textFill>
        </w:rPr>
      </w:pPr>
    </w:p>
    <w:p>
      <w:pPr>
        <w:keepNext w:val="0"/>
        <w:keepLines w:val="0"/>
        <w:pageBreakBefore w:val="0"/>
        <w:widowControl w:val="0"/>
        <w:kinsoku/>
        <w:wordWrap/>
        <w:overflowPunct w:val="0"/>
        <w:topLinePunct w:val="0"/>
        <w:autoSpaceDE/>
        <w:autoSpaceDN/>
        <w:bidi w:val="0"/>
        <w:spacing w:line="564" w:lineRule="exact"/>
        <w:ind w:firstLine="640"/>
        <w:textAlignment w:val="auto"/>
        <w:rPr>
          <w:rFonts w:ascii="宋体" w:hAnsi="宋体" w:eastAsia="仿宋_GB2312"/>
          <w:color w:val="000000" w:themeColor="text1"/>
          <w:sz w:val="32"/>
          <w:szCs w:val="32"/>
          <w14:textFill>
            <w14:solidFill>
              <w14:schemeClr w14:val="tx1"/>
            </w14:solidFill>
          </w14:textFill>
        </w:rPr>
      </w:pPr>
      <w:r>
        <w:rPr>
          <w:rFonts w:hint="eastAsia" w:ascii="宋体" w:hAnsi="宋体" w:eastAsia="仿宋_GB2312"/>
          <w:color w:val="000000" w:themeColor="text1"/>
          <w:sz w:val="32"/>
          <w:szCs w:val="32"/>
          <w14:textFill>
            <w14:solidFill>
              <w14:schemeClr w14:val="tx1"/>
            </w14:solidFill>
          </w14:textFill>
        </w:rPr>
        <w:t xml:space="preserve">           </w:t>
      </w:r>
      <w:r>
        <w:rPr>
          <w:rFonts w:hint="eastAsia" w:ascii="宋体" w:hAnsi="宋体" w:eastAsia="仿宋_GB2312"/>
          <w:color w:val="000000" w:themeColor="text1"/>
          <w:sz w:val="32"/>
          <w:szCs w:val="32"/>
          <w:lang w:val="en-US" w:eastAsia="zh-CN"/>
          <w14:textFill>
            <w14:solidFill>
              <w14:schemeClr w14:val="tx1"/>
            </w14:solidFill>
          </w14:textFill>
        </w:rPr>
        <w:t xml:space="preserve">     </w:t>
      </w:r>
      <w:r>
        <w:rPr>
          <w:rFonts w:hint="eastAsia" w:ascii="宋体" w:hAnsi="宋体" w:eastAsia="仿宋_GB2312"/>
          <w:color w:val="000000" w:themeColor="text1"/>
          <w:sz w:val="32"/>
          <w:szCs w:val="32"/>
          <w14:textFill>
            <w14:solidFill>
              <w14:schemeClr w14:val="tx1"/>
            </w14:solidFill>
          </w14:textFill>
        </w:rPr>
        <w:t xml:space="preserve"> </w:t>
      </w:r>
      <w:r>
        <w:rPr>
          <w:rFonts w:hint="eastAsia" w:ascii="宋体" w:hAnsi="宋体" w:eastAsia="仿宋_GB2312"/>
          <w:color w:val="000000" w:themeColor="text1"/>
          <w:sz w:val="32"/>
          <w:szCs w:val="32"/>
          <w:lang w:val="en-US" w:eastAsia="zh-CN"/>
          <w14:textFill>
            <w14:solidFill>
              <w14:schemeClr w14:val="tx1"/>
            </w14:solidFill>
          </w14:textFill>
        </w:rPr>
        <w:t xml:space="preserve">  </w:t>
      </w:r>
      <w:r>
        <w:rPr>
          <w:rFonts w:hint="eastAsia" w:ascii="宋体" w:hAnsi="宋体" w:eastAsia="仿宋_GB2312"/>
          <w:color w:val="000000" w:themeColor="text1"/>
          <w:sz w:val="32"/>
          <w:szCs w:val="32"/>
          <w14:textFill>
            <w14:solidFill>
              <w14:schemeClr w14:val="tx1"/>
            </w14:solidFill>
          </w14:textFill>
        </w:rPr>
        <w:t xml:space="preserve">     河南省市场监督管理局</w:t>
      </w:r>
    </w:p>
    <w:p>
      <w:pPr>
        <w:keepNext w:val="0"/>
        <w:keepLines w:val="0"/>
        <w:pageBreakBefore w:val="0"/>
        <w:widowControl w:val="0"/>
        <w:kinsoku/>
        <w:wordWrap/>
        <w:overflowPunct w:val="0"/>
        <w:topLinePunct w:val="0"/>
        <w:autoSpaceDE/>
        <w:autoSpaceDN/>
        <w:bidi w:val="0"/>
        <w:spacing w:line="564" w:lineRule="exact"/>
        <w:ind w:firstLine="640"/>
        <w:textAlignment w:val="auto"/>
        <w:rPr>
          <w:rFonts w:hint="eastAsia" w:ascii="宋体" w:hAnsi="宋体" w:eastAsia="仿宋_GB2312"/>
          <w:color w:val="000000" w:themeColor="text1"/>
          <w:sz w:val="32"/>
          <w:szCs w:val="32"/>
          <w14:textFill>
            <w14:solidFill>
              <w14:schemeClr w14:val="tx1"/>
            </w14:solidFill>
          </w14:textFill>
        </w:rPr>
      </w:pPr>
      <w:r>
        <w:rPr>
          <w:rFonts w:hint="eastAsia" w:ascii="宋体" w:hAnsi="宋体" w:eastAsia="仿宋_GB2312"/>
          <w:color w:val="000000" w:themeColor="text1"/>
          <w:sz w:val="32"/>
          <w:szCs w:val="32"/>
          <w14:textFill>
            <w14:solidFill>
              <w14:schemeClr w14:val="tx1"/>
            </w14:solidFill>
          </w14:textFill>
        </w:rPr>
        <w:t xml:space="preserve">              </w:t>
      </w:r>
      <w:r>
        <w:rPr>
          <w:rFonts w:hint="eastAsia" w:ascii="宋体" w:hAnsi="宋体" w:eastAsia="仿宋_GB2312"/>
          <w:color w:val="000000" w:themeColor="text1"/>
          <w:sz w:val="32"/>
          <w:szCs w:val="32"/>
          <w:lang w:val="en-US" w:eastAsia="zh-CN"/>
          <w14:textFill>
            <w14:solidFill>
              <w14:schemeClr w14:val="tx1"/>
            </w14:solidFill>
          </w14:textFill>
        </w:rPr>
        <w:t xml:space="preserve">     </w:t>
      </w:r>
      <w:r>
        <w:rPr>
          <w:rFonts w:hint="eastAsia" w:ascii="宋体" w:hAnsi="宋体" w:eastAsia="仿宋_GB2312"/>
          <w:color w:val="000000" w:themeColor="text1"/>
          <w:sz w:val="32"/>
          <w:szCs w:val="32"/>
          <w14:textFill>
            <w14:solidFill>
              <w14:schemeClr w14:val="tx1"/>
            </w14:solidFill>
          </w14:textFill>
        </w:rPr>
        <w:t xml:space="preserve"> </w:t>
      </w:r>
      <w:r>
        <w:rPr>
          <w:rFonts w:hint="eastAsia" w:ascii="宋体" w:hAnsi="宋体" w:eastAsia="仿宋_GB2312"/>
          <w:color w:val="000000" w:themeColor="text1"/>
          <w:sz w:val="32"/>
          <w:szCs w:val="32"/>
          <w:lang w:val="en-US" w:eastAsia="zh-CN"/>
          <w14:textFill>
            <w14:solidFill>
              <w14:schemeClr w14:val="tx1"/>
            </w14:solidFill>
          </w14:textFill>
        </w:rPr>
        <w:t xml:space="preserve">    </w:t>
      </w:r>
      <w:r>
        <w:rPr>
          <w:rFonts w:hint="eastAsia" w:ascii="宋体" w:hAnsi="宋体" w:eastAsia="仿宋_GB2312"/>
          <w:color w:val="000000" w:themeColor="text1"/>
          <w:sz w:val="32"/>
          <w:szCs w:val="32"/>
          <w14:textFill>
            <w14:solidFill>
              <w14:schemeClr w14:val="tx1"/>
            </w14:solidFill>
          </w14:textFill>
        </w:rPr>
        <w:t xml:space="preserve">  2023年12月</w:t>
      </w:r>
      <w:r>
        <w:rPr>
          <w:rFonts w:hint="eastAsia" w:ascii="宋体" w:hAnsi="宋体" w:eastAsia="仿宋_GB2312"/>
          <w:color w:val="000000" w:themeColor="text1"/>
          <w:sz w:val="32"/>
          <w:szCs w:val="32"/>
          <w:lang w:val="en-US" w:eastAsia="zh-CN"/>
          <w14:textFill>
            <w14:solidFill>
              <w14:schemeClr w14:val="tx1"/>
            </w14:solidFill>
          </w14:textFill>
        </w:rPr>
        <w:t>19</w:t>
      </w:r>
      <w:r>
        <w:rPr>
          <w:rFonts w:hint="eastAsia" w:ascii="宋体" w:hAnsi="宋体" w:eastAsia="仿宋_GB2312"/>
          <w:color w:val="000000" w:themeColor="text1"/>
          <w:sz w:val="32"/>
          <w:szCs w:val="32"/>
          <w14:textFill>
            <w14:solidFill>
              <w14:schemeClr w14:val="tx1"/>
            </w14:solidFill>
          </w14:textFill>
        </w:rPr>
        <w:t xml:space="preserve">日         </w:t>
      </w:r>
    </w:p>
    <w:p>
      <w:pPr>
        <w:pStyle w:val="2"/>
        <w:rPr>
          <w:rFonts w:hint="eastAsia" w:ascii="宋体" w:hAnsi="宋体" w:eastAsia="仿宋_GB2312"/>
          <w:color w:val="000000" w:themeColor="text1"/>
          <w:sz w:val="32"/>
          <w:szCs w:val="32"/>
          <w14:textFill>
            <w14:solidFill>
              <w14:schemeClr w14:val="tx1"/>
            </w14:solidFill>
          </w14:textFill>
        </w:rPr>
      </w:pPr>
    </w:p>
    <w:p>
      <w:pPr>
        <w:pStyle w:val="2"/>
        <w:rPr>
          <w:rFonts w:hint="eastAsia" w:ascii="宋体" w:hAnsi="宋体" w:eastAsia="仿宋_GB2312"/>
          <w:color w:val="000000" w:themeColor="text1"/>
          <w:sz w:val="32"/>
          <w:szCs w:val="32"/>
          <w14:textFill>
            <w14:solidFill>
              <w14:schemeClr w14:val="tx1"/>
            </w14:solidFill>
          </w14:textFill>
        </w:rPr>
      </w:pPr>
    </w:p>
    <w:p>
      <w:pPr>
        <w:pStyle w:val="3"/>
        <w:keepNext w:val="0"/>
        <w:keepLines w:val="0"/>
        <w:pageBreakBefore w:val="0"/>
        <w:widowControl w:val="0"/>
        <w:kinsoku/>
        <w:wordWrap/>
        <w:overflowPunct w:val="0"/>
        <w:topLinePunct w:val="0"/>
        <w:autoSpaceDE/>
        <w:autoSpaceDN/>
        <w:bidi w:val="0"/>
        <w:spacing w:line="564" w:lineRule="exact"/>
        <w:ind w:left="0" w:leftChars="0"/>
        <w:textAlignment w:val="auto"/>
        <w:rPr>
          <w:rFonts w:hint="eastAsia" w:ascii="宋体" w:hAnsi="宋体" w:eastAsia="仿宋_GB2312"/>
          <w:color w:val="000000" w:themeColor="text1"/>
          <w:sz w:val="32"/>
          <w:szCs w:val="32"/>
          <w14:textFill>
            <w14:solidFill>
              <w14:schemeClr w14:val="tx1"/>
            </w14:solidFill>
          </w14:textFill>
        </w:rPr>
      </w:pPr>
      <w:r>
        <w:rPr>
          <w:rFonts w:hint="eastAsia" w:ascii="宋体" w:hAnsi="宋体" w:eastAsia="仿宋_GB2312"/>
          <w:color w:val="000000" w:themeColor="text1"/>
          <w:sz w:val="32"/>
          <w:szCs w:val="32"/>
          <w14:textFill>
            <w14:solidFill>
              <w14:schemeClr w14:val="tx1"/>
            </w14:solidFill>
          </w14:textFill>
        </w:rPr>
        <w:t>（市场监督管理部门将依法向社会公开行政处罚决定信息）</w:t>
      </w:r>
    </w:p>
    <w:p>
      <w:pPr>
        <w:keepNext w:val="0"/>
        <w:keepLines w:val="0"/>
        <w:pageBreakBefore w:val="0"/>
        <w:widowControl w:val="0"/>
        <w:kinsoku/>
        <w:wordWrap/>
        <w:overflowPunct w:val="0"/>
        <w:topLinePunct w:val="0"/>
        <w:autoSpaceDE/>
        <w:autoSpaceDN/>
        <w:bidi w:val="0"/>
        <w:spacing w:line="564" w:lineRule="exact"/>
        <w:textAlignment w:val="auto"/>
        <w:rPr>
          <w:rFonts w:ascii="宋体" w:hAnsi="宋体"/>
          <w:color w:val="000000" w:themeColor="text1"/>
          <w14:textFill>
            <w14:solidFill>
              <w14:schemeClr w14:val="tx1"/>
            </w14:solidFill>
          </w14:textFill>
        </w:rPr>
      </w:pPr>
      <w:r>
        <w:rPr>
          <w:rFonts w:ascii="宋体" w:hAnsi="宋体" w:eastAsia="仿宋_GB2312" w:cs="仿宋_GB2312"/>
          <w:color w:val="000000" w:themeColor="text1"/>
          <w:sz w:val="32"/>
          <w:szCs w:val="32"/>
          <w14:textFill>
            <w14:solidFill>
              <w14:schemeClr w14:val="tx1"/>
            </w14:solidFill>
          </w14:textFill>
        </w:rPr>
        <mc:AlternateContent>
          <mc:Choice Requires="wps">
            <w:drawing>
              <wp:anchor distT="0" distB="0" distL="114300" distR="114300" simplePos="0" relativeHeight="251660288" behindDoc="0" locked="0" layoutInCell="1" allowOverlap="1">
                <wp:simplePos x="0" y="0"/>
                <wp:positionH relativeFrom="column">
                  <wp:posOffset>19050</wp:posOffset>
                </wp:positionH>
                <wp:positionV relativeFrom="paragraph">
                  <wp:posOffset>9525</wp:posOffset>
                </wp:positionV>
                <wp:extent cx="5550535" cy="635"/>
                <wp:effectExtent l="0" t="0" r="0" b="0"/>
                <wp:wrapNone/>
                <wp:docPr id="3" name="直接连接符 3"/>
                <wp:cNvGraphicFramePr/>
                <a:graphic xmlns:a="http://schemas.openxmlformats.org/drawingml/2006/main">
                  <a:graphicData uri="http://schemas.microsoft.com/office/word/2010/wordprocessingShape">
                    <wps:wsp>
                      <wps:cNvCnPr/>
                      <wps:spPr>
                        <a:xfrm>
                          <a:off x="0" y="0"/>
                          <a:ext cx="5550535" cy="635"/>
                        </a:xfrm>
                        <a:prstGeom prst="line">
                          <a:avLst/>
                        </a:prstGeom>
                        <a:ln w="15875" cap="flat" cmpd="sng">
                          <a:solidFill>
                            <a:srgbClr val="000000"/>
                          </a:solidFill>
                          <a:prstDash val="solid"/>
                          <a:headEnd type="none" w="med" len="med"/>
                          <a:tailEnd type="none" w="med" len="med"/>
                        </a:ln>
                        <a:effectLst/>
                      </wps:spPr>
                      <wps:bodyPr/>
                    </wps:wsp>
                  </a:graphicData>
                </a:graphic>
              </wp:anchor>
            </w:drawing>
          </mc:Choice>
          <mc:Fallback>
            <w:pict>
              <v:line id="_x0000_s1026" o:spid="_x0000_s1026" o:spt="20" style="position:absolute;left:0pt;margin-left:1.5pt;margin-top:0.75pt;height:0.05pt;width:437.05pt;z-index:251660288;mso-width-relative:page;mso-height-relative:page;" filled="f" stroked="t" coordsize="21600,21600" o:gfxdata="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C/8R6f1QAAAAUBAAAPAAAAAAAAAAEAIAAAACIAAABkcnMvZG93bnJldi54bWxQSwECFAAUAAAA&#10;CACHTuJAdTtaX/EBAADpAwAADgAAAAAAAAABACAAAAAkAQAAZHJzL2Uyb0RvYy54bWxQSwUGAAAA&#10;AAYABgBZAQAAhwUAAAAA&#10;">
                <v:fill on="f" focussize="0,0"/>
                <v:stroke weight="1.25pt" color="#000000" joinstyle="round"/>
                <v:imagedata o:title=""/>
                <o:lock v:ext="edit" aspectratio="f"/>
              </v:line>
            </w:pict>
          </mc:Fallback>
        </mc:AlternateContent>
      </w:r>
      <w:r>
        <w:rPr>
          <w:rFonts w:ascii="宋体" w:hAnsi="宋体" w:eastAsia="仿宋_GB2312" w:cs="仿宋_GB2312"/>
          <w:bCs/>
          <w:color w:val="000000" w:themeColor="text1"/>
          <w:sz w:val="32"/>
          <w:szCs w:val="32"/>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20807045</wp:posOffset>
                </wp:positionV>
                <wp:extent cx="5762625" cy="1270"/>
                <wp:effectExtent l="0" t="0" r="0" b="0"/>
                <wp:wrapNone/>
                <wp:docPr id="1" name="直接连接符 1"/>
                <wp:cNvGraphicFramePr/>
                <a:graphic xmlns:a="http://schemas.openxmlformats.org/drawingml/2006/main">
                  <a:graphicData uri="http://schemas.microsoft.com/office/word/2010/wordprocessingShape">
                    <wps:wsp>
                      <wps:cNvCnPr/>
                      <wps:spPr>
                        <a:xfrm>
                          <a:off x="0" y="0"/>
                          <a:ext cx="5762625" cy="1270"/>
                        </a:xfrm>
                        <a:prstGeom prst="line">
                          <a:avLst/>
                        </a:prstGeom>
                        <a:ln w="9360" cap="sq" cmpd="sng">
                          <a:solidFill>
                            <a:srgbClr val="000000"/>
                          </a:solidFill>
                          <a:prstDash val="solid"/>
                          <a:headEnd type="none" w="med" len="med"/>
                          <a:tailEnd type="none" w="med" len="med"/>
                        </a:ln>
                        <a:effectLst/>
                      </wps:spPr>
                      <wps:bodyPr/>
                    </wps:wsp>
                  </a:graphicData>
                </a:graphic>
              </wp:anchor>
            </w:drawing>
          </mc:Choice>
          <mc:Fallback>
            <w:pict>
              <v:line id="_x0000_s1026" o:spid="_x0000_s1026" o:spt="20" style="position:absolute;left:0pt;margin-left:0pt;margin-top:1638.35pt;height:0.1pt;width:453.75pt;z-index:251659264;mso-width-relative:page;mso-height-relative:page;" filled="f" stroked="t" coordsize="21600,21600" o:gfxdata="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CL7/OR1wAAAAoBAAAPAAAAAAAAAAEAIAAAACIAAABkcnMvZG93bnJldi54bWxQSwEC&#10;FAAUAAAACACHTuJAquVlOvUBAADnAwAADgAAAAAAAAABACAAAAAmAQAAZHJzL2Uyb0RvYy54bWxQ&#10;SwUGAAAAAAYABgBZAQAAjQUAAAAA&#10;">
                <v:fill on="f" focussize="0,0"/>
                <v:stroke weight="0.737007874015748pt" color="#000000" joinstyle="round" endcap="square"/>
                <v:imagedata o:title=""/>
                <o:lock v:ext="edit" aspectratio="f"/>
              </v:line>
            </w:pict>
          </mc:Fallback>
        </mc:AlternateContent>
      </w:r>
      <w:r>
        <w:rPr>
          <w:rFonts w:hint="eastAsia" w:ascii="宋体" w:hAnsi="宋体" w:eastAsia="仿宋_GB2312" w:cs="仿宋_GB2312"/>
          <w:color w:val="000000" w:themeColor="text1"/>
          <w:sz w:val="32"/>
          <w:szCs w:val="32"/>
          <w14:textFill>
            <w14:solidFill>
              <w14:schemeClr w14:val="tx1"/>
            </w14:solidFill>
          </w14:textFill>
        </w:rPr>
        <w:t>本文书一式三份，一份送达，一份归档，一份留存。</w:t>
      </w:r>
    </w:p>
    <w:sectPr>
      <w:footerReference r:id="rId3" w:type="default"/>
      <w:pgSz w:w="11906" w:h="16838"/>
      <w:pgMar w:top="1984" w:right="1531" w:bottom="1814" w:left="1531" w:header="851" w:footer="1417" w:gutter="0"/>
      <w:pgNumType w:fmt="decimal"/>
      <w:cols w:space="0" w:num="1"/>
      <w:rtlGutter w:val="0"/>
      <w:docGrid w:type="lines" w:linePitch="318"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panose1 w:val="02010601030101010101"/>
    <w:charset w:val="86"/>
    <w:family w:val="auto"/>
    <w:pitch w:val="default"/>
    <w:sig w:usb0="00000001" w:usb1="080E0000" w:usb2="00000000" w:usb3="00000000" w:csb0="00040000"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4"/>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 </w:t>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1</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zSVju0AAAAAUBAAAPAAAAAAAAAAEAIAAAACIAAABkcnMvZG93bnJldi54bWxQ&#10;SwECFAAUAAAACACHTuJAXhqPXzgCAABvBAAADgAAAAAAAAABACAAAAAfAQAAZHJzL2Uyb0RvYy54&#10;bWxQSwUGAAAAAAYABgBZAQAAyQUAAAAA&#10;">
              <v:fill on="f" focussize="0,0"/>
              <v:stroke on="f" weight="0.5pt"/>
              <v:imagedata o:title=""/>
              <o:lock v:ext="edit" aspectratio="f"/>
              <v:textbox inset="0mm,0mm,0mm,0mm" style="mso-fit-shape-to-text:t;">
                <w:txbxContent>
                  <w:p>
                    <w:pPr>
                      <w:pStyle w:val="4"/>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 </w:t>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1</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t xml:space="preserve"> —</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9"/>
  <w:displayHorizontalDrawingGridEvery w:val="0"/>
  <w:displayVerticalDrawingGridEvery w:val="2"/>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M0NDBjZDllOWM3OWQ0MmZhNDM5NTEyY2Q3MTM1NzMifQ=="/>
  </w:docVars>
  <w:rsids>
    <w:rsidRoot w:val="00350F28"/>
    <w:rsid w:val="00056F85"/>
    <w:rsid w:val="00317794"/>
    <w:rsid w:val="00350F28"/>
    <w:rsid w:val="00384D6D"/>
    <w:rsid w:val="005C4FBC"/>
    <w:rsid w:val="006A2C30"/>
    <w:rsid w:val="0091095A"/>
    <w:rsid w:val="00A7363B"/>
    <w:rsid w:val="00DF7924"/>
    <w:rsid w:val="06B238FA"/>
    <w:rsid w:val="0827324E"/>
    <w:rsid w:val="0B0423FC"/>
    <w:rsid w:val="16640A0D"/>
    <w:rsid w:val="180C2F70"/>
    <w:rsid w:val="19E9660B"/>
    <w:rsid w:val="1B7B2180"/>
    <w:rsid w:val="1F87DDD4"/>
    <w:rsid w:val="25715D7B"/>
    <w:rsid w:val="31C75CC2"/>
    <w:rsid w:val="3B895C72"/>
    <w:rsid w:val="42BF3977"/>
    <w:rsid w:val="46484924"/>
    <w:rsid w:val="49EC5DA0"/>
    <w:rsid w:val="4DA75059"/>
    <w:rsid w:val="51566012"/>
    <w:rsid w:val="521057AE"/>
    <w:rsid w:val="56D6124D"/>
    <w:rsid w:val="573721F7"/>
    <w:rsid w:val="57C24A97"/>
    <w:rsid w:val="5FF54C97"/>
    <w:rsid w:val="66A259A4"/>
    <w:rsid w:val="690B178F"/>
    <w:rsid w:val="6E6AC8B5"/>
    <w:rsid w:val="6EBE689D"/>
    <w:rsid w:val="6F2F4F7E"/>
    <w:rsid w:val="70F235BA"/>
    <w:rsid w:val="79B36165"/>
    <w:rsid w:val="7CF41326"/>
    <w:rsid w:val="EFFFA68D"/>
    <w:rsid w:val="F2F19DFB"/>
    <w:rsid w:val="F7DEE89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qFormat="1" w:uiPriority="99"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autoRedefine/>
    <w:qFormat/>
    <w:uiPriority w:val="0"/>
    <w:pPr>
      <w:widowControl w:val="0"/>
      <w:jc w:val="both"/>
    </w:pPr>
    <w:rPr>
      <w:rFonts w:ascii="Calibri" w:hAnsi="Calibri"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Normal Indent"/>
    <w:basedOn w:val="1"/>
    <w:qFormat/>
    <w:uiPriority w:val="0"/>
    <w:pPr>
      <w:ind w:firstLine="200" w:firstLineChars="200"/>
    </w:pPr>
    <w:rPr>
      <w:szCs w:val="22"/>
    </w:rPr>
  </w:style>
  <w:style w:type="paragraph" w:styleId="3">
    <w:name w:val="table of authorities"/>
    <w:basedOn w:val="1"/>
    <w:next w:val="1"/>
    <w:unhideWhenUsed/>
    <w:qFormat/>
    <w:uiPriority w:val="99"/>
    <w:pPr>
      <w:ind w:left="420" w:leftChars="200"/>
    </w:p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CCE8C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Words>3061</Words>
  <Characters>3146</Characters>
  <Lines>23</Lines>
  <Paragraphs>6</Paragraphs>
  <TotalTime>0</TotalTime>
  <ScaleCrop>false</ScaleCrop>
  <LinksUpToDate>false</LinksUpToDate>
  <CharactersWithSpaces>3215</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2023-11-02T15:31:00Z</dcterms:created>
  <dc:creator>admin</dc:creator>
  <cp:lastModifiedBy>lhq</cp:lastModifiedBy>
  <cp:lastPrinted>2023-12-20T02:58:00Z</cp:lastPrinted>
  <dcterms:modified xsi:type="dcterms:W3CDTF">2024-01-05T02:45:11Z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4F5D68797AA0497A86DB13284CE18015_12</vt:lpwstr>
  </property>
</Properties>
</file>