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8"/>
          <w:szCs w:val="28"/>
          <w:lang w:eastAsia="zh-CN"/>
        </w:rPr>
      </w:pPr>
      <w:bookmarkStart w:id="0" w:name="_GoBack"/>
      <w:bookmarkEnd w:id="0"/>
      <w:r>
        <w:rPr>
          <w:rFonts w:ascii="Times New Roman" w:hAnsi="Times New Roman"/>
          <w:b/>
          <w:bCs/>
          <w:sz w:val="28"/>
          <w:szCs w:val="28"/>
          <w:lang w:eastAsia="zh-CN"/>
        </w:rPr>
        <w:t>经营者集中简易案件公示表</w:t>
      </w:r>
    </w:p>
    <w:tbl>
      <w:tblPr>
        <w:tblStyle w:val="5"/>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1446"/>
        <w:gridCol w:w="4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2518" w:type="dxa"/>
            <w:shd w:val="clear" w:color="auto" w:fill="D0CECE" w:themeFill="background2" w:themeFillShade="E6"/>
            <w:vAlign w:val="center"/>
          </w:tcPr>
          <w:p>
            <w:pPr>
              <w:spacing w:after="0" w:line="240" w:lineRule="auto"/>
              <w:rPr>
                <w:rFonts w:ascii="Times New Roman" w:hAnsi="Times New Roman" w:eastAsia="仿宋"/>
                <w:color w:val="000000" w:themeColor="text1"/>
                <w:sz w:val="21"/>
                <w:szCs w:val="21"/>
                <w14:textFill>
                  <w14:solidFill>
                    <w14:schemeClr w14:val="tx1"/>
                  </w14:solidFill>
                </w14:textFill>
              </w:rPr>
            </w:pPr>
            <w:r>
              <w:rPr>
                <w:rFonts w:ascii="Times New Roman" w:hAnsi="Times New Roman" w:eastAsia="仿宋"/>
                <w:b/>
                <w:bCs/>
                <w:color w:val="000000" w:themeColor="text1"/>
                <w:szCs w:val="21"/>
                <w14:textFill>
                  <w14:solidFill>
                    <w14:schemeClr w14:val="tx1"/>
                  </w14:solidFill>
                </w14:textFill>
              </w:rPr>
              <w:t>案件名称</w:t>
            </w:r>
          </w:p>
        </w:tc>
        <w:tc>
          <w:tcPr>
            <w:tcW w:w="6379" w:type="dxa"/>
            <w:gridSpan w:val="2"/>
            <w:shd w:val="clear" w:color="auto" w:fill="auto"/>
            <w:vAlign w:val="center"/>
          </w:tcPr>
          <w:p>
            <w:pPr>
              <w:snapToGrid w:val="0"/>
              <w:spacing w:after="156" w:afterLines="50" w:line="276" w:lineRule="auto"/>
              <w:rPr>
                <w:rFonts w:ascii="仿宋" w:hAnsi="仿宋" w:eastAsia="仿宋"/>
                <w:b/>
                <w:bCs/>
                <w:color w:val="000000" w:themeColor="text1"/>
                <w:sz w:val="21"/>
                <w:szCs w:val="21"/>
                <w:lang w:eastAsia="zh-CN"/>
                <w14:textFill>
                  <w14:solidFill>
                    <w14:schemeClr w14:val="tx1"/>
                  </w14:solidFill>
                </w14:textFill>
              </w:rPr>
            </w:pPr>
            <w:r>
              <w:rPr>
                <w:rFonts w:hint="eastAsia" w:ascii="仿宋" w:hAnsi="仿宋" w:eastAsia="仿宋"/>
                <w:sz w:val="21"/>
                <w:szCs w:val="21"/>
                <w:lang w:eastAsia="zh-CN"/>
              </w:rPr>
              <w:t>广州产业投资控股集团有限公司收购广州环保投资集团有限公司股权案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D0CECE" w:themeFill="background2" w:themeFillShade="E6"/>
            <w:vAlign w:val="center"/>
          </w:tcPr>
          <w:p>
            <w:pPr>
              <w:spacing w:after="0" w:line="240" w:lineRule="auto"/>
              <w:rPr>
                <w:rFonts w:ascii="Times New Roman" w:hAnsi="Times New Roman" w:eastAsia="仿宋"/>
                <w:b/>
                <w:color w:val="000000" w:themeColor="text1"/>
                <w:sz w:val="21"/>
                <w:szCs w:val="21"/>
                <w14:textFill>
                  <w14:solidFill>
                    <w14:schemeClr w14:val="tx1"/>
                  </w14:solidFill>
                </w14:textFill>
              </w:rPr>
            </w:pPr>
            <w:r>
              <w:rPr>
                <w:rFonts w:ascii="Times New Roman" w:hAnsi="Times New Roman" w:eastAsia="仿宋"/>
                <w:b/>
                <w:bCs/>
                <w:color w:val="000000" w:themeColor="text1"/>
                <w:szCs w:val="21"/>
                <w14:textFill>
                  <w14:solidFill>
                    <w14:schemeClr w14:val="tx1"/>
                  </w14:solidFill>
                </w14:textFill>
              </w:rPr>
              <w:t>交易概况（限200字内）</w:t>
            </w:r>
          </w:p>
        </w:tc>
        <w:tc>
          <w:tcPr>
            <w:tcW w:w="6379" w:type="dxa"/>
            <w:gridSpan w:val="2"/>
            <w:shd w:val="clear" w:color="auto" w:fill="auto"/>
            <w:vAlign w:val="center"/>
          </w:tcPr>
          <w:p>
            <w:pPr>
              <w:snapToGrid w:val="0"/>
              <w:spacing w:after="156" w:afterLines="50" w:line="276" w:lineRule="auto"/>
              <w:jc w:val="both"/>
              <w:rPr>
                <w:rFonts w:ascii="Times New Roman" w:hAnsi="Times New Roman" w:eastAsia="仿宋"/>
                <w:color w:val="000000" w:themeColor="text1"/>
                <w:sz w:val="21"/>
                <w:szCs w:val="21"/>
                <w:lang w:eastAsia="zh-CN"/>
                <w14:textFill>
                  <w14:solidFill>
                    <w14:schemeClr w14:val="tx1"/>
                  </w14:solidFill>
                </w14:textFill>
              </w:rPr>
            </w:pPr>
            <w:r>
              <w:rPr>
                <w:rFonts w:hint="eastAsia" w:ascii="Times New Roman" w:hAnsi="Times New Roman" w:eastAsia="仿宋"/>
                <w:color w:val="000000" w:themeColor="text1"/>
                <w:sz w:val="21"/>
                <w:szCs w:val="21"/>
                <w:lang w:eastAsia="zh-CN"/>
                <w14:textFill>
                  <w14:solidFill>
                    <w14:schemeClr w14:val="tx1"/>
                  </w14:solidFill>
                </w14:textFill>
              </w:rPr>
              <w:t>根据2</w:t>
            </w:r>
            <w:r>
              <w:rPr>
                <w:rFonts w:ascii="Times New Roman" w:hAnsi="Times New Roman" w:eastAsia="仿宋"/>
                <w:color w:val="000000" w:themeColor="text1"/>
                <w:sz w:val="21"/>
                <w:szCs w:val="21"/>
                <w:lang w:eastAsia="zh-CN"/>
                <w14:textFill>
                  <w14:solidFill>
                    <w14:schemeClr w14:val="tx1"/>
                  </w14:solidFill>
                </w14:textFill>
              </w:rPr>
              <w:t>021年</w:t>
            </w:r>
            <w:r>
              <w:rPr>
                <w:rFonts w:hint="eastAsia" w:ascii="Times New Roman" w:hAnsi="Times New Roman" w:eastAsia="仿宋"/>
                <w:color w:val="000000" w:themeColor="text1"/>
                <w:sz w:val="21"/>
                <w:szCs w:val="21"/>
                <w:lang w:eastAsia="zh-CN"/>
                <w14:textFill>
                  <w14:solidFill>
                    <w14:schemeClr w14:val="tx1"/>
                  </w14:solidFill>
                </w14:textFill>
              </w:rPr>
              <w:t>1</w:t>
            </w:r>
            <w:r>
              <w:rPr>
                <w:rFonts w:ascii="Times New Roman" w:hAnsi="Times New Roman" w:eastAsia="仿宋"/>
                <w:color w:val="000000" w:themeColor="text1"/>
                <w:sz w:val="21"/>
                <w:szCs w:val="21"/>
                <w:lang w:eastAsia="zh-CN"/>
                <w14:textFill>
                  <w14:solidFill>
                    <w14:schemeClr w14:val="tx1"/>
                  </w14:solidFill>
                </w14:textFill>
              </w:rPr>
              <w:t>2月</w:t>
            </w:r>
            <w:r>
              <w:rPr>
                <w:rFonts w:hint="eastAsia" w:ascii="Times New Roman" w:hAnsi="Times New Roman" w:eastAsia="仿宋"/>
                <w:color w:val="000000" w:themeColor="text1"/>
                <w:sz w:val="21"/>
                <w:szCs w:val="21"/>
                <w:lang w:eastAsia="zh-CN"/>
                <w14:textFill>
                  <w14:solidFill>
                    <w14:schemeClr w14:val="tx1"/>
                  </w14:solidFill>
                </w14:textFill>
              </w:rPr>
              <w:t>2</w:t>
            </w:r>
            <w:r>
              <w:rPr>
                <w:rFonts w:ascii="Times New Roman" w:hAnsi="Times New Roman" w:eastAsia="仿宋"/>
                <w:color w:val="000000" w:themeColor="text1"/>
                <w:sz w:val="21"/>
                <w:szCs w:val="21"/>
                <w:lang w:eastAsia="zh-CN"/>
                <w14:textFill>
                  <w14:solidFill>
                    <w14:schemeClr w14:val="tx1"/>
                  </w14:solidFill>
                </w14:textFill>
              </w:rPr>
              <w:t>7日的</w:t>
            </w:r>
            <w:r>
              <w:rPr>
                <w:rFonts w:hint="eastAsia" w:ascii="Times New Roman" w:hAnsi="Times New Roman" w:eastAsia="仿宋"/>
                <w:color w:val="000000" w:themeColor="text1"/>
                <w:sz w:val="21"/>
                <w:szCs w:val="21"/>
                <w:lang w:eastAsia="zh-CN"/>
                <w14:textFill>
                  <w14:solidFill>
                    <w14:schemeClr w14:val="tx1"/>
                  </w14:solidFill>
                </w14:textFill>
              </w:rPr>
              <w:t>《广州市国资委关于将广州环保投资集团有限公司8</w:t>
            </w:r>
            <w:r>
              <w:rPr>
                <w:rFonts w:ascii="Times New Roman" w:hAnsi="Times New Roman" w:eastAsia="仿宋"/>
                <w:color w:val="000000" w:themeColor="text1"/>
                <w:sz w:val="21"/>
                <w:szCs w:val="21"/>
                <w:lang w:eastAsia="zh-CN"/>
                <w14:textFill>
                  <w14:solidFill>
                    <w14:schemeClr w14:val="tx1"/>
                  </w14:solidFill>
                </w14:textFill>
              </w:rPr>
              <w:t>4.9</w:t>
            </w:r>
            <w:r>
              <w:rPr>
                <w:rFonts w:hint="eastAsia" w:ascii="Times New Roman" w:hAnsi="Times New Roman" w:eastAsia="仿宋"/>
                <w:color w:val="000000" w:themeColor="text1"/>
                <w:sz w:val="21"/>
                <w:szCs w:val="21"/>
                <w:lang w:eastAsia="zh-CN"/>
                <w14:textFill>
                  <w14:solidFill>
                    <w14:schemeClr w14:val="tx1"/>
                  </w14:solidFill>
                </w14:textFill>
              </w:rPr>
              <w:t>%</w:t>
            </w:r>
            <w:r>
              <w:rPr>
                <w:rFonts w:ascii="Times New Roman" w:hAnsi="Times New Roman" w:eastAsia="仿宋"/>
                <w:color w:val="000000" w:themeColor="text1"/>
                <w:sz w:val="21"/>
                <w:szCs w:val="21"/>
                <w:lang w:eastAsia="zh-CN"/>
                <w14:textFill>
                  <w14:solidFill>
                    <w14:schemeClr w14:val="tx1"/>
                  </w14:solidFill>
                </w14:textFill>
              </w:rPr>
              <w:t>国有股权无偿划转至广州产业投资控股集团有限公司的通知</w:t>
            </w:r>
            <w:r>
              <w:rPr>
                <w:rFonts w:hint="eastAsia" w:ascii="Times New Roman" w:hAnsi="Times New Roman" w:eastAsia="仿宋"/>
                <w:color w:val="000000" w:themeColor="text1"/>
                <w:sz w:val="21"/>
                <w:szCs w:val="21"/>
                <w:lang w:eastAsia="zh-CN"/>
                <w14:textFill>
                  <w14:solidFill>
                    <w14:schemeClr w14:val="tx1"/>
                  </w14:solidFill>
                </w14:textFill>
              </w:rPr>
              <w:t>》，广州产业投资控股集团有限公司（“</w:t>
            </w:r>
            <w:r>
              <w:rPr>
                <w:rFonts w:hint="eastAsia" w:ascii="Times New Roman" w:hAnsi="Times New Roman" w:eastAsia="仿宋"/>
                <w:b/>
                <w:color w:val="000000" w:themeColor="text1"/>
                <w:sz w:val="21"/>
                <w:szCs w:val="21"/>
                <w:lang w:eastAsia="zh-CN"/>
                <w14:textFill>
                  <w14:solidFill>
                    <w14:schemeClr w14:val="tx1"/>
                  </w14:solidFill>
                </w14:textFill>
              </w:rPr>
              <w:t>广州产投</w:t>
            </w:r>
            <w:r>
              <w:rPr>
                <w:rFonts w:hint="eastAsia" w:ascii="Times New Roman" w:hAnsi="Times New Roman" w:eastAsia="仿宋"/>
                <w:color w:val="000000" w:themeColor="text1"/>
                <w:sz w:val="21"/>
                <w:szCs w:val="21"/>
                <w:lang w:eastAsia="zh-CN"/>
                <w14:textFill>
                  <w14:solidFill>
                    <w14:schemeClr w14:val="tx1"/>
                  </w14:solidFill>
                </w14:textFill>
              </w:rPr>
              <w:t>”）拟通过划转的形式取得广州环保投资集团有限公司（“</w:t>
            </w:r>
            <w:r>
              <w:rPr>
                <w:rFonts w:hint="eastAsia" w:ascii="Times New Roman" w:hAnsi="Times New Roman" w:eastAsia="仿宋"/>
                <w:b/>
                <w:color w:val="000000" w:themeColor="text1"/>
                <w:sz w:val="21"/>
                <w:szCs w:val="21"/>
                <w:lang w:eastAsia="zh-CN"/>
                <w14:textFill>
                  <w14:solidFill>
                    <w14:schemeClr w14:val="tx1"/>
                  </w14:solidFill>
                </w14:textFill>
              </w:rPr>
              <w:t>广州环投</w:t>
            </w:r>
            <w:r>
              <w:rPr>
                <w:rFonts w:hint="eastAsia" w:ascii="Times New Roman" w:hAnsi="Times New Roman" w:eastAsia="仿宋"/>
                <w:color w:val="000000" w:themeColor="text1"/>
                <w:sz w:val="21"/>
                <w:szCs w:val="21"/>
                <w:lang w:eastAsia="zh-CN"/>
                <w14:textFill>
                  <w14:solidFill>
                    <w14:schemeClr w14:val="tx1"/>
                  </w14:solidFill>
                </w14:textFill>
              </w:rPr>
              <w:t>”）84.9%的股权（“</w:t>
            </w:r>
            <w:r>
              <w:rPr>
                <w:rFonts w:hint="eastAsia" w:ascii="Times New Roman" w:hAnsi="Times New Roman" w:eastAsia="仿宋"/>
                <w:b/>
                <w:color w:val="000000" w:themeColor="text1"/>
                <w:sz w:val="21"/>
                <w:szCs w:val="21"/>
                <w:lang w:eastAsia="zh-CN"/>
                <w14:textFill>
                  <w14:solidFill>
                    <w14:schemeClr w14:val="tx1"/>
                  </w14:solidFill>
                </w14:textFill>
              </w:rPr>
              <w:t>拟议交易</w:t>
            </w:r>
            <w:r>
              <w:rPr>
                <w:rFonts w:hint="eastAsia" w:ascii="Times New Roman" w:hAnsi="Times New Roman" w:eastAsia="仿宋"/>
                <w:color w:val="000000" w:themeColor="text1"/>
                <w:sz w:val="21"/>
                <w:szCs w:val="21"/>
                <w:lang w:eastAsia="zh-CN"/>
                <w14:textFill>
                  <w14:solidFill>
                    <w14:schemeClr w14:val="tx1"/>
                  </w14:solidFill>
                </w14:textFill>
              </w:rPr>
              <w:t>”）。 拟议交易完成后，广投产投将成为广州环投的全资控股公司。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518" w:type="dxa"/>
            <w:vMerge w:val="restart"/>
            <w:shd w:val="clear" w:color="auto" w:fill="D0CECE" w:themeFill="background2" w:themeFillShade="E6"/>
            <w:vAlign w:val="center"/>
          </w:tcPr>
          <w:p>
            <w:pPr>
              <w:spacing w:after="0" w:line="240" w:lineRule="auto"/>
              <w:rPr>
                <w:rFonts w:ascii="Times New Roman" w:hAnsi="Times New Roman" w:eastAsia="仿宋"/>
                <w:b/>
                <w:color w:val="000000" w:themeColor="text1"/>
                <w:sz w:val="21"/>
                <w:szCs w:val="21"/>
                <w:lang w:eastAsia="zh-CN"/>
                <w14:textFill>
                  <w14:solidFill>
                    <w14:schemeClr w14:val="tx1"/>
                  </w14:solidFill>
                </w14:textFill>
              </w:rPr>
            </w:pPr>
            <w:r>
              <w:rPr>
                <w:rFonts w:ascii="Times New Roman" w:hAnsi="Times New Roman" w:eastAsia="仿宋"/>
                <w:b/>
                <w:bCs/>
                <w:color w:val="000000" w:themeColor="text1"/>
                <w:szCs w:val="21"/>
                <w:lang w:eastAsia="zh-CN"/>
                <w14:textFill>
                  <w14:solidFill>
                    <w14:schemeClr w14:val="tx1"/>
                  </w14:solidFill>
                </w14:textFill>
              </w:rPr>
              <w:t>参与集中的经营者简介</w:t>
            </w:r>
          </w:p>
        </w:tc>
        <w:tc>
          <w:tcPr>
            <w:tcW w:w="1446" w:type="dxa"/>
            <w:shd w:val="clear" w:color="auto" w:fill="auto"/>
            <w:vAlign w:val="center"/>
          </w:tcPr>
          <w:p>
            <w:pPr>
              <w:pStyle w:val="11"/>
              <w:numPr>
                <w:ilvl w:val="0"/>
                <w:numId w:val="1"/>
              </w:numPr>
              <w:autoSpaceDE w:val="0"/>
              <w:autoSpaceDN w:val="0"/>
              <w:adjustRightInd w:val="0"/>
              <w:snapToGrid w:val="0"/>
              <w:spacing w:after="0" w:line="240" w:lineRule="auto"/>
              <w:ind w:firstLineChars="0"/>
              <w:rPr>
                <w:rFonts w:ascii="Times New Roman" w:hAnsi="Times New Roman" w:eastAsia="仿宋"/>
                <w:color w:val="000000" w:themeColor="text1"/>
                <w:sz w:val="21"/>
                <w:szCs w:val="21"/>
                <w:lang w:eastAsia="zh-CN"/>
                <w14:textFill>
                  <w14:solidFill>
                    <w14:schemeClr w14:val="tx1"/>
                  </w14:solidFill>
                </w14:textFill>
              </w:rPr>
            </w:pPr>
            <w:r>
              <w:rPr>
                <w:rFonts w:ascii="Times New Roman" w:hAnsi="Times New Roman" w:eastAsia="仿宋"/>
                <w:color w:val="000000" w:themeColor="text1"/>
                <w:sz w:val="21"/>
                <w:szCs w:val="21"/>
                <w:lang w:eastAsia="zh-CN"/>
                <w14:textFill>
                  <w14:solidFill>
                    <w14:schemeClr w14:val="tx1"/>
                  </w14:solidFill>
                </w14:textFill>
              </w:rPr>
              <w:t>广州产投</w:t>
            </w:r>
          </w:p>
        </w:tc>
        <w:tc>
          <w:tcPr>
            <w:tcW w:w="4933" w:type="dxa"/>
            <w:shd w:val="clear" w:color="auto" w:fill="auto"/>
            <w:vAlign w:val="center"/>
          </w:tcPr>
          <w:p>
            <w:pPr>
              <w:snapToGrid w:val="0"/>
              <w:spacing w:after="156" w:afterLines="50" w:line="276" w:lineRule="auto"/>
              <w:jc w:val="both"/>
              <w:rPr>
                <w:rFonts w:ascii="Times New Roman" w:hAnsi="Times New Roman" w:eastAsia="仿宋"/>
                <w:color w:val="000000" w:themeColor="text1"/>
                <w:sz w:val="21"/>
                <w:szCs w:val="21"/>
                <w:lang w:eastAsia="zh-CN"/>
                <w14:textFill>
                  <w14:solidFill>
                    <w14:schemeClr w14:val="tx1"/>
                  </w14:solidFill>
                </w14:textFill>
              </w:rPr>
            </w:pPr>
            <w:r>
              <w:rPr>
                <w:rFonts w:hint="eastAsia" w:ascii="Times New Roman" w:hAnsi="Times New Roman" w:eastAsia="仿宋"/>
                <w:color w:val="000000" w:themeColor="text1"/>
                <w:sz w:val="21"/>
                <w:szCs w:val="21"/>
                <w:lang w:eastAsia="zh-CN"/>
                <w14:textFill>
                  <w14:solidFill>
                    <w14:schemeClr w14:val="tx1"/>
                  </w14:solidFill>
                </w14:textFill>
              </w:rPr>
              <w:t>广州产投在1</w:t>
            </w:r>
            <w:r>
              <w:rPr>
                <w:rFonts w:ascii="Times New Roman" w:hAnsi="Times New Roman" w:eastAsia="仿宋"/>
                <w:color w:val="000000" w:themeColor="text1"/>
                <w:sz w:val="21"/>
                <w:szCs w:val="21"/>
                <w:lang w:eastAsia="zh-CN"/>
                <w14:textFill>
                  <w14:solidFill>
                    <w14:schemeClr w14:val="tx1"/>
                  </w14:solidFill>
                </w14:textFill>
              </w:rPr>
              <w:t>989年</w:t>
            </w:r>
            <w:r>
              <w:rPr>
                <w:rFonts w:hint="eastAsia" w:ascii="Times New Roman" w:hAnsi="Times New Roman" w:eastAsia="仿宋"/>
                <w:color w:val="000000" w:themeColor="text1"/>
                <w:sz w:val="21"/>
                <w:szCs w:val="21"/>
                <w:lang w:eastAsia="zh-CN"/>
                <w14:textFill>
                  <w14:solidFill>
                    <w14:schemeClr w14:val="tx1"/>
                  </w14:solidFill>
                </w14:textFill>
              </w:rPr>
              <w:t>9月2</w:t>
            </w:r>
            <w:r>
              <w:rPr>
                <w:rFonts w:ascii="Times New Roman" w:hAnsi="Times New Roman" w:eastAsia="仿宋"/>
                <w:color w:val="000000" w:themeColor="text1"/>
                <w:sz w:val="21"/>
                <w:szCs w:val="21"/>
                <w:lang w:eastAsia="zh-CN"/>
                <w14:textFill>
                  <w14:solidFill>
                    <w14:schemeClr w14:val="tx1"/>
                  </w14:solidFill>
                </w14:textFill>
              </w:rPr>
              <w:t>6日成立于中国广州市</w:t>
            </w:r>
            <w:r>
              <w:rPr>
                <w:rFonts w:hint="eastAsia" w:ascii="Times New Roman" w:hAnsi="Times New Roman" w:eastAsia="仿宋"/>
                <w:color w:val="000000" w:themeColor="text1"/>
                <w:sz w:val="21"/>
                <w:szCs w:val="21"/>
                <w:lang w:eastAsia="zh-CN"/>
                <w14:textFill>
                  <w14:solidFill>
                    <w14:schemeClr w14:val="tx1"/>
                  </w14:solidFill>
                </w14:textFill>
              </w:rPr>
              <w:t>，主要从事投资相关业务，其投资的上市公司股权项目包括珠江啤酒、越秀金控、浪奇、广药白云山、岭南控股、中国电建和广汽集团等；投资的其他类型项目包括广州交通投资集团有限公司、众诚汽车保险股份有限公司等；此外，其还投资了部分产业基金，如中小企业发展基金、绿色产业投资基金、科创国发产业基金、国资国企创新投资基金和芜湖歌斐景泽投资中心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color w:val="000000" w:themeColor="text1"/>
                <w:sz w:val="21"/>
                <w:szCs w:val="21"/>
                <w:lang w:eastAsia="zh-CN"/>
                <w14:textFill>
                  <w14:solidFill>
                    <w14:schemeClr w14:val="tx1"/>
                  </w14:solidFill>
                </w14:textFill>
              </w:rPr>
            </w:pPr>
          </w:p>
        </w:tc>
        <w:tc>
          <w:tcPr>
            <w:tcW w:w="1446" w:type="dxa"/>
            <w:shd w:val="clear" w:color="auto" w:fill="auto"/>
            <w:vAlign w:val="center"/>
          </w:tcPr>
          <w:p>
            <w:pPr>
              <w:pStyle w:val="11"/>
              <w:numPr>
                <w:ilvl w:val="0"/>
                <w:numId w:val="1"/>
              </w:numPr>
              <w:autoSpaceDE w:val="0"/>
              <w:autoSpaceDN w:val="0"/>
              <w:adjustRightInd w:val="0"/>
              <w:snapToGrid w:val="0"/>
              <w:spacing w:after="0" w:line="240" w:lineRule="auto"/>
              <w:ind w:firstLineChars="0"/>
              <w:rPr>
                <w:rFonts w:ascii="Times New Roman" w:hAnsi="Times New Roman" w:eastAsia="仿宋"/>
                <w:color w:val="000000" w:themeColor="text1"/>
                <w:sz w:val="21"/>
                <w:szCs w:val="21"/>
                <w:lang w:eastAsia="zh-CN"/>
                <w14:textFill>
                  <w14:solidFill>
                    <w14:schemeClr w14:val="tx1"/>
                  </w14:solidFill>
                </w14:textFill>
              </w:rPr>
            </w:pPr>
            <w:r>
              <w:rPr>
                <w:rFonts w:ascii="Times New Roman" w:hAnsi="Times New Roman" w:eastAsia="仿宋"/>
                <w:bCs/>
                <w:color w:val="000000" w:themeColor="text1"/>
                <w:kern w:val="0"/>
                <w:sz w:val="21"/>
                <w:szCs w:val="21"/>
                <w14:textFill>
                  <w14:solidFill>
                    <w14:schemeClr w14:val="tx1"/>
                  </w14:solidFill>
                </w14:textFill>
              </w:rPr>
              <w:t>广州环投</w:t>
            </w:r>
          </w:p>
        </w:tc>
        <w:tc>
          <w:tcPr>
            <w:tcW w:w="4933" w:type="dxa"/>
            <w:shd w:val="clear" w:color="auto" w:fill="auto"/>
            <w:vAlign w:val="center"/>
          </w:tcPr>
          <w:p>
            <w:pPr>
              <w:snapToGrid w:val="0"/>
              <w:spacing w:after="156" w:afterLines="50" w:line="276" w:lineRule="auto"/>
              <w:jc w:val="both"/>
              <w:rPr>
                <w:rFonts w:ascii="Times New Roman" w:hAnsi="Times New Roman" w:eastAsia="仿宋"/>
                <w:color w:val="000000" w:themeColor="text1"/>
                <w:sz w:val="21"/>
                <w:szCs w:val="21"/>
                <w:lang w:eastAsia="zh-CN"/>
                <w14:textFill>
                  <w14:solidFill>
                    <w14:schemeClr w14:val="tx1"/>
                  </w14:solidFill>
                </w14:textFill>
              </w:rPr>
            </w:pPr>
            <w:r>
              <w:rPr>
                <w:rFonts w:hint="eastAsia" w:ascii="Times New Roman" w:hAnsi="Times New Roman" w:eastAsia="仿宋"/>
                <w:color w:val="000000" w:themeColor="text1"/>
                <w:sz w:val="21"/>
                <w:szCs w:val="21"/>
                <w:lang w:eastAsia="zh-CN"/>
                <w14:textFill>
                  <w14:solidFill>
                    <w14:schemeClr w14:val="tx1"/>
                  </w14:solidFill>
                </w14:textFill>
              </w:rPr>
              <w:t>广州环投在2</w:t>
            </w:r>
            <w:r>
              <w:rPr>
                <w:rFonts w:ascii="Times New Roman" w:hAnsi="Times New Roman" w:eastAsia="仿宋"/>
                <w:color w:val="000000" w:themeColor="text1"/>
                <w:sz w:val="21"/>
                <w:szCs w:val="21"/>
                <w:lang w:eastAsia="zh-CN"/>
                <w14:textFill>
                  <w14:solidFill>
                    <w14:schemeClr w14:val="tx1"/>
                  </w14:solidFill>
                </w14:textFill>
              </w:rPr>
              <w:t>008年</w:t>
            </w:r>
            <w:r>
              <w:rPr>
                <w:rFonts w:hint="eastAsia" w:ascii="Times New Roman" w:hAnsi="Times New Roman" w:eastAsia="仿宋"/>
                <w:color w:val="000000" w:themeColor="text1"/>
                <w:sz w:val="21"/>
                <w:szCs w:val="21"/>
                <w:lang w:eastAsia="zh-CN"/>
                <w14:textFill>
                  <w14:solidFill>
                    <w14:schemeClr w14:val="tx1"/>
                  </w14:solidFill>
                </w14:textFill>
              </w:rPr>
              <w:t>1月2</w:t>
            </w:r>
            <w:r>
              <w:rPr>
                <w:rFonts w:ascii="Times New Roman" w:hAnsi="Times New Roman" w:eastAsia="仿宋"/>
                <w:color w:val="000000" w:themeColor="text1"/>
                <w:sz w:val="21"/>
                <w:szCs w:val="21"/>
                <w:lang w:eastAsia="zh-CN"/>
                <w14:textFill>
                  <w14:solidFill>
                    <w14:schemeClr w14:val="tx1"/>
                  </w14:solidFill>
                </w14:textFill>
              </w:rPr>
              <w:t>3日成立于中国广州市</w:t>
            </w:r>
            <w:r>
              <w:rPr>
                <w:rFonts w:hint="eastAsia" w:ascii="Times New Roman" w:hAnsi="Times New Roman" w:eastAsia="仿宋"/>
                <w:color w:val="000000" w:themeColor="text1"/>
                <w:sz w:val="21"/>
                <w:szCs w:val="21"/>
                <w:lang w:eastAsia="zh-CN"/>
                <w14:textFill>
                  <w14:solidFill>
                    <w14:schemeClr w14:val="tx1"/>
                  </w14:solidFill>
                </w14:textFill>
              </w:rPr>
              <w:t>，其主要业务领域包括清洁能源生产、固废资源开发、 环保装备制造、现代环保服务等。除此之外，广州环投还控制上市公司</w:t>
            </w:r>
            <w:r>
              <w:rPr>
                <w:rFonts w:eastAsia="仿宋"/>
                <w:color w:val="000000" w:themeColor="text1"/>
                <w:sz w:val="21"/>
                <w:szCs w:val="21"/>
                <w:lang w:eastAsia="zh-CN"/>
                <w14:textFill>
                  <w14:solidFill>
                    <w14:schemeClr w14:val="tx1"/>
                  </w14:solidFill>
                </w14:textFill>
              </w:rPr>
              <w:t>广西博世科环保科技股份有限公司</w:t>
            </w:r>
            <w:r>
              <w:rPr>
                <w:rFonts w:hint="eastAsia" w:ascii="Times New Roman" w:hAnsi="Times New Roman" w:eastAsia="仿宋"/>
                <w:color w:val="000000" w:themeColor="text1"/>
                <w:sz w:val="21"/>
                <w:szCs w:val="21"/>
                <w:lang w:eastAsia="zh-CN"/>
                <w14:textFill>
                  <w14:solidFill>
                    <w14:schemeClr w14:val="tx1"/>
                  </w14:solidFill>
                </w14:textFill>
              </w:rPr>
              <w:t>，后者主要从事市政污水处理业务。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restart"/>
            <w:shd w:val="clear" w:color="auto" w:fill="D0CECE" w:themeFill="background2" w:themeFillShade="E6"/>
            <w:vAlign w:val="center"/>
          </w:tcPr>
          <w:p>
            <w:pPr>
              <w:spacing w:after="0" w:line="240" w:lineRule="auto"/>
              <w:rPr>
                <w:rFonts w:ascii="Times New Roman" w:hAnsi="Times New Roman" w:eastAsia="仿宋"/>
                <w:b/>
                <w:color w:val="000000" w:themeColor="text1"/>
                <w:sz w:val="21"/>
                <w:szCs w:val="21"/>
                <w:lang w:eastAsia="zh-CN"/>
                <w14:textFill>
                  <w14:solidFill>
                    <w14:schemeClr w14:val="tx1"/>
                  </w14:solidFill>
                </w14:textFill>
              </w:rPr>
            </w:pPr>
            <w:r>
              <w:rPr>
                <w:rFonts w:ascii="Times New Roman" w:hAnsi="Times New Roman" w:eastAsia="仿宋"/>
                <w:b/>
                <w:bCs/>
                <w:color w:val="000000" w:themeColor="text1"/>
                <w:szCs w:val="21"/>
                <w:lang w:eastAsia="zh-CN"/>
                <w14:textFill>
                  <w14:solidFill>
                    <w14:schemeClr w14:val="tx1"/>
                  </w14:solidFill>
                </w14:textFill>
              </w:rPr>
              <w:t>简易案件理由（可以单选，也可以多选）</w:t>
            </w:r>
          </w:p>
        </w:tc>
        <w:tc>
          <w:tcPr>
            <w:tcW w:w="6379" w:type="dxa"/>
            <w:gridSpan w:val="2"/>
            <w:shd w:val="clear" w:color="auto" w:fill="auto"/>
          </w:tcPr>
          <w:p>
            <w:pPr>
              <w:tabs>
                <w:tab w:val="left" w:pos="350"/>
              </w:tabs>
              <w:spacing w:after="0" w:line="240" w:lineRule="auto"/>
              <w:ind w:right="20"/>
              <w:jc w:val="both"/>
              <w:rPr>
                <w:rFonts w:ascii="Times New Roman" w:hAnsi="Times New Roman" w:eastAsia="仿宋"/>
                <w:color w:val="000000" w:themeColor="text1"/>
                <w:sz w:val="21"/>
                <w:szCs w:val="21"/>
                <w:lang w:eastAsia="zh-CN"/>
                <w14:textFill>
                  <w14:solidFill>
                    <w14:schemeClr w14:val="tx1"/>
                  </w14:solidFill>
                </w14:textFill>
              </w:rPr>
            </w:pPr>
            <w:r>
              <w:rPr>
                <w:rFonts w:ascii="仿宋" w:hAnsi="仿宋" w:eastAsia="仿宋"/>
                <w:sz w:val="21"/>
                <w:szCs w:val="21"/>
              </w:rPr>
              <w:sym w:font="Wingdings" w:char="F0FE"/>
            </w:r>
            <w:r>
              <w:rPr>
                <w:rFonts w:ascii="仿宋" w:hAnsi="仿宋" w:eastAsia="仿宋"/>
                <w:sz w:val="21"/>
                <w:szCs w:val="21"/>
                <w:lang w:eastAsia="zh-CN"/>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color w:val="000000" w:themeColor="text1"/>
                <w:sz w:val="21"/>
                <w:szCs w:val="21"/>
                <w:lang w:eastAsia="zh-CN"/>
                <w14:textFill>
                  <w14:solidFill>
                    <w14:schemeClr w14:val="tx1"/>
                  </w14:solidFill>
                </w14:textFill>
              </w:rPr>
            </w:pPr>
          </w:p>
        </w:tc>
        <w:tc>
          <w:tcPr>
            <w:tcW w:w="6379" w:type="dxa"/>
            <w:gridSpan w:val="2"/>
            <w:shd w:val="clear" w:color="auto" w:fill="auto"/>
          </w:tcPr>
          <w:p>
            <w:pPr>
              <w:adjustRightInd w:val="0"/>
              <w:snapToGrid w:val="0"/>
              <w:spacing w:after="0" w:line="240" w:lineRule="auto"/>
              <w:jc w:val="both"/>
              <w:rPr>
                <w:rFonts w:ascii="Times New Roman" w:hAnsi="Times New Roman" w:eastAsia="仿宋"/>
                <w:color w:val="000000" w:themeColor="text1"/>
                <w:sz w:val="21"/>
                <w:szCs w:val="21"/>
                <w:lang w:eastAsia="zh-CN"/>
                <w14:textFill>
                  <w14:solidFill>
                    <w14:schemeClr w14:val="tx1"/>
                  </w14:solidFill>
                </w14:textFill>
              </w:rPr>
            </w:pPr>
            <w:r>
              <w:rPr>
                <w:rFonts w:ascii="仿宋" w:hAnsi="仿宋" w:eastAsia="仿宋" w:cs="Arial"/>
                <w:sz w:val="21"/>
                <w:szCs w:val="21"/>
              </w:rPr>
              <w:sym w:font="Wingdings" w:char="F0A8"/>
            </w:r>
            <w:r>
              <w:rPr>
                <w:rFonts w:ascii="仿宋" w:hAnsi="仿宋" w:eastAsia="仿宋"/>
                <w:sz w:val="21"/>
                <w:szCs w:val="21"/>
                <w:lang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bCs/>
                <w:color w:val="000000" w:themeColor="text1"/>
                <w:szCs w:val="21"/>
                <w:lang w:eastAsia="zh-CN"/>
                <w14:textFill>
                  <w14:solidFill>
                    <w14:schemeClr w14:val="tx1"/>
                  </w14:solidFill>
                </w14:textFill>
              </w:rPr>
            </w:pPr>
          </w:p>
        </w:tc>
        <w:tc>
          <w:tcPr>
            <w:tcW w:w="6379" w:type="dxa"/>
            <w:gridSpan w:val="2"/>
            <w:shd w:val="clear" w:color="auto" w:fill="auto"/>
          </w:tcPr>
          <w:p>
            <w:pPr>
              <w:adjustRightInd w:val="0"/>
              <w:snapToGrid w:val="0"/>
              <w:spacing w:after="0" w:line="240" w:lineRule="auto"/>
              <w:jc w:val="both"/>
              <w:rPr>
                <w:rFonts w:ascii="仿宋" w:hAnsi="仿宋" w:eastAsia="仿宋"/>
                <w:sz w:val="21"/>
                <w:szCs w:val="21"/>
                <w:lang w:eastAsia="zh-CN"/>
              </w:rPr>
            </w:pPr>
            <w:r>
              <w:rPr>
                <w:rFonts w:ascii="仿宋" w:hAnsi="仿宋" w:eastAsia="仿宋" w:cs="Arial"/>
                <w:sz w:val="21"/>
                <w:szCs w:val="21"/>
              </w:rPr>
              <w:sym w:font="Wingdings" w:char="F0A8"/>
            </w:r>
            <w:r>
              <w:rPr>
                <w:rFonts w:ascii="仿宋" w:hAnsi="仿宋" w:eastAsia="仿宋"/>
                <w:sz w:val="21"/>
                <w:szCs w:val="21"/>
                <w:lang w:eastAsia="zh-CN"/>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bCs/>
                <w:color w:val="000000" w:themeColor="text1"/>
                <w:szCs w:val="21"/>
                <w:lang w:eastAsia="zh-CN"/>
                <w14:textFill>
                  <w14:solidFill>
                    <w14:schemeClr w14:val="tx1"/>
                  </w14:solidFill>
                </w14:textFill>
              </w:rPr>
            </w:pPr>
          </w:p>
        </w:tc>
        <w:tc>
          <w:tcPr>
            <w:tcW w:w="6379" w:type="dxa"/>
            <w:gridSpan w:val="2"/>
            <w:shd w:val="clear" w:color="auto" w:fill="auto"/>
          </w:tcPr>
          <w:p>
            <w:pPr>
              <w:adjustRightInd w:val="0"/>
              <w:snapToGrid w:val="0"/>
              <w:spacing w:after="0" w:line="240" w:lineRule="auto"/>
              <w:jc w:val="both"/>
              <w:rPr>
                <w:rFonts w:ascii="仿宋" w:hAnsi="仿宋" w:eastAsia="仿宋" w:cs="Arial"/>
                <w:sz w:val="21"/>
                <w:szCs w:val="21"/>
                <w:lang w:eastAsia="zh-CN"/>
              </w:rPr>
            </w:pPr>
            <w:r>
              <w:rPr>
                <w:rFonts w:ascii="仿宋" w:hAnsi="仿宋" w:eastAsia="仿宋" w:cs="Arial"/>
                <w:sz w:val="21"/>
                <w:szCs w:val="21"/>
              </w:rPr>
              <w:sym w:font="Wingdings" w:char="F0A8"/>
            </w:r>
            <w:r>
              <w:rPr>
                <w:rFonts w:ascii="仿宋" w:hAnsi="仿宋" w:eastAsia="仿宋"/>
                <w:sz w:val="21"/>
                <w:szCs w:val="21"/>
                <w:lang w:eastAsia="zh-CN"/>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bCs/>
                <w:color w:val="000000" w:themeColor="text1"/>
                <w:szCs w:val="21"/>
                <w:lang w:eastAsia="zh-CN"/>
                <w14:textFill>
                  <w14:solidFill>
                    <w14:schemeClr w14:val="tx1"/>
                  </w14:solidFill>
                </w14:textFill>
              </w:rPr>
            </w:pPr>
          </w:p>
        </w:tc>
        <w:tc>
          <w:tcPr>
            <w:tcW w:w="6379" w:type="dxa"/>
            <w:gridSpan w:val="2"/>
            <w:shd w:val="clear" w:color="auto" w:fill="auto"/>
          </w:tcPr>
          <w:p>
            <w:pPr>
              <w:adjustRightInd w:val="0"/>
              <w:snapToGrid w:val="0"/>
              <w:spacing w:after="0" w:line="240" w:lineRule="auto"/>
              <w:jc w:val="both"/>
              <w:rPr>
                <w:rFonts w:ascii="仿宋" w:hAnsi="仿宋" w:eastAsia="仿宋" w:cs="Arial"/>
                <w:sz w:val="21"/>
                <w:szCs w:val="21"/>
                <w:lang w:eastAsia="zh-CN"/>
              </w:rPr>
            </w:pPr>
            <w:r>
              <w:rPr>
                <w:rFonts w:ascii="仿宋" w:hAnsi="仿宋" w:eastAsia="仿宋" w:cs="Arial"/>
                <w:sz w:val="21"/>
                <w:szCs w:val="21"/>
              </w:rPr>
              <w:sym w:font="Wingdings" w:char="F0A8"/>
            </w:r>
            <w:r>
              <w:rPr>
                <w:rFonts w:ascii="仿宋" w:hAnsi="仿宋" w:eastAsia="仿宋"/>
                <w:sz w:val="21"/>
                <w:szCs w:val="21"/>
                <w:lang w:eastAsia="zh-CN"/>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vMerge w:val="continue"/>
            <w:shd w:val="clear" w:color="auto" w:fill="D0CECE" w:themeFill="background2" w:themeFillShade="E6"/>
            <w:vAlign w:val="center"/>
          </w:tcPr>
          <w:p>
            <w:pPr>
              <w:spacing w:after="0" w:line="240" w:lineRule="auto"/>
              <w:rPr>
                <w:rFonts w:ascii="Times New Roman" w:hAnsi="Times New Roman" w:eastAsia="仿宋"/>
                <w:b/>
                <w:bCs/>
                <w:color w:val="000000" w:themeColor="text1"/>
                <w:szCs w:val="21"/>
                <w:lang w:eastAsia="zh-CN"/>
                <w14:textFill>
                  <w14:solidFill>
                    <w14:schemeClr w14:val="tx1"/>
                  </w14:solidFill>
                </w14:textFill>
              </w:rPr>
            </w:pPr>
          </w:p>
        </w:tc>
        <w:tc>
          <w:tcPr>
            <w:tcW w:w="6379" w:type="dxa"/>
            <w:gridSpan w:val="2"/>
            <w:shd w:val="clear" w:color="auto" w:fill="auto"/>
          </w:tcPr>
          <w:p>
            <w:pPr>
              <w:adjustRightInd w:val="0"/>
              <w:snapToGrid w:val="0"/>
              <w:spacing w:after="0" w:line="240" w:lineRule="auto"/>
              <w:jc w:val="both"/>
              <w:rPr>
                <w:rFonts w:ascii="仿宋" w:hAnsi="仿宋" w:eastAsia="仿宋" w:cs="Arial"/>
                <w:sz w:val="21"/>
                <w:szCs w:val="21"/>
                <w:lang w:eastAsia="zh-CN"/>
              </w:rPr>
            </w:pPr>
            <w:r>
              <w:rPr>
                <w:rFonts w:ascii="仿宋" w:hAnsi="仿宋" w:eastAsia="仿宋" w:cs="Arial"/>
                <w:sz w:val="21"/>
                <w:szCs w:val="21"/>
              </w:rPr>
              <w:sym w:font="Wingdings" w:char="F0A8"/>
            </w:r>
            <w:r>
              <w:rPr>
                <w:rFonts w:ascii="仿宋" w:hAnsi="仿宋" w:eastAsia="仿宋"/>
                <w:sz w:val="21"/>
                <w:szCs w:val="21"/>
                <w:lang w:eastAsia="zh-CN"/>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8" w:type="dxa"/>
            <w:shd w:val="clear" w:color="auto" w:fill="D0CECE" w:themeFill="background2" w:themeFillShade="E6"/>
            <w:vAlign w:val="center"/>
          </w:tcPr>
          <w:p>
            <w:pPr>
              <w:spacing w:after="0" w:line="240" w:lineRule="auto"/>
              <w:rPr>
                <w:rFonts w:ascii="Times New Roman" w:hAnsi="Times New Roman" w:eastAsia="仿宋"/>
                <w:b/>
                <w:bCs/>
                <w:color w:val="000000" w:themeColor="text1"/>
                <w:szCs w:val="21"/>
                <w:lang w:eastAsia="zh-CN"/>
                <w14:textFill>
                  <w14:solidFill>
                    <w14:schemeClr w14:val="tx1"/>
                  </w14:solidFill>
                </w14:textFill>
              </w:rPr>
            </w:pPr>
            <w:r>
              <w:rPr>
                <w:rFonts w:ascii="Times New Roman" w:hAnsi="Times New Roman" w:eastAsia="仿宋"/>
                <w:b/>
                <w:bCs/>
                <w:color w:val="000000" w:themeColor="text1"/>
                <w:szCs w:val="21"/>
                <w:lang w:eastAsia="zh-CN"/>
                <w14:textFill>
                  <w14:solidFill>
                    <w14:schemeClr w14:val="tx1"/>
                  </w14:solidFill>
                </w14:textFill>
              </w:rPr>
              <w:t>备注</w:t>
            </w:r>
          </w:p>
        </w:tc>
        <w:tc>
          <w:tcPr>
            <w:tcW w:w="6379" w:type="dxa"/>
            <w:gridSpan w:val="2"/>
            <w:shd w:val="clear" w:color="auto" w:fill="auto"/>
          </w:tcPr>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674"/>
              <w:gridCol w:w="2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8D8D8" w:themeFill="background1" w:themeFillShade="D9"/>
                </w:tcPr>
                <w:p>
                  <w:pPr>
                    <w:snapToGrid w:val="0"/>
                    <w:spacing w:after="156" w:afterLines="50"/>
                    <w:rPr>
                      <w:rFonts w:ascii="仿宋" w:hAnsi="仿宋" w:eastAsia="仿宋"/>
                      <w:b/>
                      <w:bCs/>
                      <w:szCs w:val="21"/>
                    </w:rPr>
                  </w:pPr>
                  <w:r>
                    <w:rPr>
                      <w:rFonts w:ascii="仿宋" w:hAnsi="仿宋" w:eastAsia="仿宋"/>
                      <w:b/>
                      <w:bCs/>
                      <w:szCs w:val="21"/>
                    </w:rPr>
                    <w:t>相关商品市场</w:t>
                  </w:r>
                </w:p>
              </w:tc>
              <w:tc>
                <w:tcPr>
                  <w:tcW w:w="1674" w:type="dxa"/>
                  <w:shd w:val="clear" w:color="auto" w:fill="D8D8D8" w:themeFill="background1" w:themeFillShade="D9"/>
                </w:tcPr>
                <w:p>
                  <w:pPr>
                    <w:snapToGrid w:val="0"/>
                    <w:spacing w:after="156" w:afterLines="50"/>
                    <w:rPr>
                      <w:rFonts w:ascii="仿宋" w:hAnsi="仿宋" w:eastAsia="仿宋"/>
                      <w:b/>
                      <w:bCs/>
                      <w:szCs w:val="21"/>
                    </w:rPr>
                  </w:pPr>
                  <w:r>
                    <w:rPr>
                      <w:rFonts w:ascii="仿宋" w:hAnsi="仿宋" w:eastAsia="仿宋"/>
                      <w:b/>
                      <w:bCs/>
                      <w:szCs w:val="21"/>
                    </w:rPr>
                    <w:t>相关地域市场</w:t>
                  </w:r>
                </w:p>
              </w:tc>
              <w:tc>
                <w:tcPr>
                  <w:tcW w:w="2499" w:type="dxa"/>
                  <w:shd w:val="clear" w:color="auto" w:fill="D8D8D8" w:themeFill="background1" w:themeFillShade="D9"/>
                </w:tcPr>
                <w:p>
                  <w:pPr>
                    <w:snapToGrid w:val="0"/>
                    <w:spacing w:after="156" w:afterLines="50"/>
                    <w:rPr>
                      <w:rFonts w:ascii="仿宋" w:hAnsi="仿宋" w:eastAsia="仿宋"/>
                      <w:b/>
                      <w:bCs/>
                      <w:szCs w:val="21"/>
                    </w:rPr>
                  </w:pPr>
                  <w:r>
                    <w:rPr>
                      <w:rFonts w:ascii="仿宋" w:hAnsi="仿宋" w:eastAsia="仿宋"/>
                      <w:b/>
                      <w:bCs/>
                      <w:szCs w:val="21"/>
                    </w:rPr>
                    <w:t>市场份额数据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napToGrid w:val="0"/>
                    <w:spacing w:after="156" w:afterLines="50"/>
                    <w:rPr>
                      <w:rFonts w:ascii="仿宋" w:hAnsi="仿宋" w:eastAsia="仿宋"/>
                      <w:szCs w:val="21"/>
                    </w:rPr>
                  </w:pPr>
                  <w:r>
                    <w:rPr>
                      <w:rFonts w:ascii="仿宋" w:hAnsi="仿宋" w:eastAsia="仿宋"/>
                      <w:szCs w:val="21"/>
                    </w:rPr>
                    <w:t>发电市场</w:t>
                  </w:r>
                </w:p>
              </w:tc>
              <w:tc>
                <w:tcPr>
                  <w:tcW w:w="1674" w:type="dxa"/>
                </w:tcPr>
                <w:p>
                  <w:pPr>
                    <w:snapToGrid w:val="0"/>
                    <w:spacing w:after="156" w:afterLines="50"/>
                    <w:rPr>
                      <w:rFonts w:ascii="仿宋" w:hAnsi="仿宋" w:eastAsia="仿宋"/>
                      <w:szCs w:val="21"/>
                    </w:rPr>
                  </w:pPr>
                  <w:r>
                    <w:rPr>
                      <w:rFonts w:hint="eastAsia" w:ascii="仿宋" w:hAnsi="仿宋" w:eastAsia="仿宋"/>
                      <w:szCs w:val="21"/>
                    </w:rPr>
                    <w:t>中国境内市场</w:t>
                  </w:r>
                </w:p>
              </w:tc>
              <w:tc>
                <w:tcPr>
                  <w:tcW w:w="2499" w:type="dxa"/>
                </w:tcPr>
                <w:p>
                  <w:pPr>
                    <w:pStyle w:val="11"/>
                    <w:widowControl w:val="0"/>
                    <w:numPr>
                      <w:ilvl w:val="0"/>
                      <w:numId w:val="2"/>
                    </w:numPr>
                    <w:tabs>
                      <w:tab w:val="clear" w:pos="709"/>
                      <w:tab w:val="clear" w:pos="1418"/>
                      <w:tab w:val="clear" w:pos="2126"/>
                      <w:tab w:val="clear" w:pos="2835"/>
                      <w:tab w:val="clear" w:pos="3544"/>
                      <w:tab w:val="clear" w:pos="4253"/>
                      <w:tab w:val="clear" w:pos="4961"/>
                      <w:tab w:val="clear" w:pos="5670"/>
                      <w:tab w:val="clear" w:pos="8363"/>
                    </w:tabs>
                    <w:snapToGrid w:val="0"/>
                    <w:spacing w:after="156" w:afterLines="50" w:line="240" w:lineRule="auto"/>
                    <w:ind w:firstLineChars="0"/>
                    <w:jc w:val="both"/>
                    <w:rPr>
                      <w:rFonts w:ascii="仿宋" w:hAnsi="仿宋" w:eastAsia="仿宋"/>
                      <w:szCs w:val="21"/>
                    </w:rPr>
                  </w:pPr>
                  <w:r>
                    <w:rPr>
                      <w:rFonts w:hint="eastAsia" w:ascii="仿宋" w:hAnsi="仿宋" w:eastAsia="仿宋"/>
                      <w:szCs w:val="21"/>
                    </w:rPr>
                    <w:t>广州产投</w:t>
                  </w:r>
                  <w:r>
                    <w:rPr>
                      <w:rFonts w:hint="eastAsia" w:ascii="仿宋" w:hAnsi="仿宋" w:eastAsia="仿宋"/>
                      <w:szCs w:val="21"/>
                      <w:lang w:eastAsia="zh-CN"/>
                    </w:rPr>
                    <w:t>：</w:t>
                  </w:r>
                  <w:r>
                    <w:rPr>
                      <w:rFonts w:hint="eastAsia" w:ascii="仿宋" w:hAnsi="仿宋" w:eastAsia="仿宋"/>
                      <w:szCs w:val="21"/>
                    </w:rPr>
                    <w:t>[</w:t>
                  </w:r>
                  <w:r>
                    <w:rPr>
                      <w:rFonts w:ascii="仿宋" w:hAnsi="仿宋" w:eastAsia="仿宋"/>
                      <w:szCs w:val="21"/>
                    </w:rPr>
                    <w:t>0-5]%；</w:t>
                  </w:r>
                </w:p>
                <w:p>
                  <w:pPr>
                    <w:pStyle w:val="11"/>
                    <w:widowControl w:val="0"/>
                    <w:numPr>
                      <w:ilvl w:val="0"/>
                      <w:numId w:val="2"/>
                    </w:numPr>
                    <w:tabs>
                      <w:tab w:val="clear" w:pos="709"/>
                      <w:tab w:val="clear" w:pos="1418"/>
                      <w:tab w:val="clear" w:pos="2126"/>
                      <w:tab w:val="clear" w:pos="2835"/>
                      <w:tab w:val="clear" w:pos="3544"/>
                      <w:tab w:val="clear" w:pos="4253"/>
                      <w:tab w:val="clear" w:pos="4961"/>
                      <w:tab w:val="clear" w:pos="5670"/>
                      <w:tab w:val="clear" w:pos="8363"/>
                    </w:tabs>
                    <w:snapToGrid w:val="0"/>
                    <w:spacing w:after="156" w:afterLines="50" w:line="240" w:lineRule="auto"/>
                    <w:ind w:firstLineChars="0"/>
                    <w:jc w:val="both"/>
                    <w:rPr>
                      <w:rFonts w:ascii="仿宋" w:hAnsi="仿宋" w:eastAsia="仿宋"/>
                      <w:szCs w:val="21"/>
                    </w:rPr>
                  </w:pPr>
                  <w:r>
                    <w:rPr>
                      <w:rFonts w:hint="eastAsia" w:ascii="仿宋" w:hAnsi="仿宋" w:eastAsia="仿宋"/>
                      <w:szCs w:val="21"/>
                    </w:rPr>
                    <w:t>广州环投</w:t>
                  </w:r>
                  <w:r>
                    <w:rPr>
                      <w:rFonts w:hint="eastAsia" w:ascii="仿宋" w:hAnsi="仿宋" w:eastAsia="仿宋"/>
                      <w:szCs w:val="21"/>
                      <w:lang w:eastAsia="zh-CN"/>
                    </w:rPr>
                    <w:t>：</w:t>
                  </w:r>
                  <w:r>
                    <w:rPr>
                      <w:rFonts w:hint="eastAsia" w:ascii="仿宋" w:hAnsi="仿宋" w:eastAsia="仿宋"/>
                      <w:szCs w:val="21"/>
                    </w:rPr>
                    <w:t>[</w:t>
                  </w:r>
                  <w:r>
                    <w:rPr>
                      <w:rFonts w:ascii="仿宋" w:hAnsi="仿宋" w:eastAsia="仿宋"/>
                      <w:szCs w:val="21"/>
                    </w:rPr>
                    <w:t>0-5]%</w:t>
                  </w:r>
                </w:p>
                <w:p>
                  <w:pPr>
                    <w:pStyle w:val="11"/>
                    <w:widowControl w:val="0"/>
                    <w:numPr>
                      <w:ilvl w:val="0"/>
                      <w:numId w:val="2"/>
                    </w:numPr>
                    <w:tabs>
                      <w:tab w:val="clear" w:pos="709"/>
                      <w:tab w:val="clear" w:pos="1418"/>
                      <w:tab w:val="clear" w:pos="2126"/>
                      <w:tab w:val="clear" w:pos="2835"/>
                      <w:tab w:val="clear" w:pos="3544"/>
                      <w:tab w:val="clear" w:pos="4253"/>
                      <w:tab w:val="clear" w:pos="4961"/>
                      <w:tab w:val="clear" w:pos="5670"/>
                      <w:tab w:val="clear" w:pos="8363"/>
                    </w:tabs>
                    <w:snapToGrid w:val="0"/>
                    <w:spacing w:after="156" w:afterLines="50" w:line="240" w:lineRule="auto"/>
                    <w:ind w:firstLineChars="0"/>
                    <w:jc w:val="both"/>
                    <w:rPr>
                      <w:rFonts w:ascii="仿宋" w:hAnsi="仿宋" w:eastAsia="仿宋"/>
                      <w:szCs w:val="21"/>
                    </w:rPr>
                  </w:pPr>
                  <w:r>
                    <w:rPr>
                      <w:rFonts w:ascii="仿宋" w:hAnsi="仿宋" w:eastAsia="仿宋"/>
                      <w:szCs w:val="21"/>
                    </w:rPr>
                    <w:t>合计</w:t>
                  </w:r>
                  <w:r>
                    <w:rPr>
                      <w:rFonts w:hint="eastAsia" w:ascii="仿宋" w:hAnsi="仿宋" w:eastAsia="仿宋"/>
                      <w:szCs w:val="21"/>
                      <w:lang w:eastAsia="zh-CN"/>
                    </w:rPr>
                    <w:t>：</w:t>
                  </w:r>
                  <w:r>
                    <w:rPr>
                      <w:rFonts w:hint="eastAsia" w:ascii="仿宋" w:hAnsi="仿宋" w:eastAsia="仿宋"/>
                      <w:szCs w:val="21"/>
                    </w:rPr>
                    <w:t>[</w:t>
                  </w:r>
                  <w:r>
                    <w:rPr>
                      <w:rFonts w:ascii="仿宋" w:hAnsi="仿宋" w:eastAsia="仿宋"/>
                      <w:szCs w:val="21"/>
                    </w:rPr>
                    <w:t>0-5]%</w:t>
                  </w:r>
                </w:p>
              </w:tc>
            </w:tr>
          </w:tbl>
          <w:p>
            <w:pPr>
              <w:adjustRightInd w:val="0"/>
              <w:snapToGrid w:val="0"/>
              <w:spacing w:after="0" w:line="240" w:lineRule="auto"/>
              <w:jc w:val="both"/>
              <w:rPr>
                <w:rFonts w:ascii="仿宋" w:hAnsi="仿宋" w:eastAsia="仿宋" w:cs="Arial"/>
                <w:szCs w:val="21"/>
                <w:lang w:eastAsia="zh-CN"/>
              </w:rPr>
            </w:pPr>
          </w:p>
        </w:tc>
      </w:tr>
    </w:tbl>
    <w:p>
      <w:pPr>
        <w:rPr>
          <w:rFonts w:ascii="Times New Roman" w:hAnsi="Times New Roman" w:eastAsia="仿宋"/>
          <w:color w:val="000000" w:themeColor="text1"/>
          <w:lang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Arial">
    <w:altName w:val="Times New Roman"/>
    <w:panose1 w:val="020B0604020202020204"/>
    <w:charset w:val="00"/>
    <w:family w:val="swiss"/>
    <w:pitch w:val="default"/>
    <w:sig w:usb0="00000000" w:usb1="00000000" w:usb2="00000009" w:usb3="00000000" w:csb0="000001FF" w:csb1="00000000"/>
  </w:font>
  <w:font w:name="CIDFont+F1">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66B23"/>
    <w:multiLevelType w:val="multilevel"/>
    <w:tmpl w:val="1FE66B23"/>
    <w:lvl w:ilvl="0" w:tentative="0">
      <w:start w:val="825"/>
      <w:numFmt w:val="bullet"/>
      <w:lvlText w:val="-"/>
      <w:lvlJc w:val="left"/>
      <w:pPr>
        <w:ind w:left="360" w:hanging="360"/>
      </w:pPr>
      <w:rPr>
        <w:rFonts w:hint="default" w:ascii="Times New Roman" w:hAnsi="Times New Roman"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3687CFB"/>
    <w:multiLevelType w:val="multilevel"/>
    <w:tmpl w:val="53687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04B"/>
    <w:rsid w:val="000558C1"/>
    <w:rsid w:val="000A372E"/>
    <w:rsid w:val="000C4BF5"/>
    <w:rsid w:val="000E4ACB"/>
    <w:rsid w:val="000F7FD1"/>
    <w:rsid w:val="001A7A3E"/>
    <w:rsid w:val="001D46C0"/>
    <w:rsid w:val="0021559F"/>
    <w:rsid w:val="00251E4B"/>
    <w:rsid w:val="002615DE"/>
    <w:rsid w:val="002A545B"/>
    <w:rsid w:val="002D5DA6"/>
    <w:rsid w:val="002E1B98"/>
    <w:rsid w:val="00325A5C"/>
    <w:rsid w:val="0033045C"/>
    <w:rsid w:val="003908C5"/>
    <w:rsid w:val="003B1715"/>
    <w:rsid w:val="003B5CB4"/>
    <w:rsid w:val="00450030"/>
    <w:rsid w:val="00465206"/>
    <w:rsid w:val="004E585E"/>
    <w:rsid w:val="004E6B00"/>
    <w:rsid w:val="00523F46"/>
    <w:rsid w:val="00532F43"/>
    <w:rsid w:val="00573FD4"/>
    <w:rsid w:val="0066706E"/>
    <w:rsid w:val="006820D1"/>
    <w:rsid w:val="00781511"/>
    <w:rsid w:val="007A4DAE"/>
    <w:rsid w:val="007D57EC"/>
    <w:rsid w:val="00931979"/>
    <w:rsid w:val="00944C9D"/>
    <w:rsid w:val="009470ED"/>
    <w:rsid w:val="0096510D"/>
    <w:rsid w:val="00A62945"/>
    <w:rsid w:val="00AD6C2B"/>
    <w:rsid w:val="00B226E5"/>
    <w:rsid w:val="00B50A96"/>
    <w:rsid w:val="00BC5690"/>
    <w:rsid w:val="00BE45F7"/>
    <w:rsid w:val="00C72855"/>
    <w:rsid w:val="00C95EC3"/>
    <w:rsid w:val="00CA782A"/>
    <w:rsid w:val="00D05619"/>
    <w:rsid w:val="00D7404B"/>
    <w:rsid w:val="00D902B6"/>
    <w:rsid w:val="00EA3FED"/>
    <w:rsid w:val="00EF4883"/>
    <w:rsid w:val="00F34A83"/>
    <w:rsid w:val="00F94A4D"/>
    <w:rsid w:val="00F96A8D"/>
    <w:rsid w:val="7EFE6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709"/>
        <w:tab w:val="left" w:pos="1418"/>
        <w:tab w:val="left" w:pos="2126"/>
        <w:tab w:val="left" w:pos="2835"/>
        <w:tab w:val="left" w:pos="3544"/>
        <w:tab w:val="left" w:pos="4253"/>
        <w:tab w:val="left" w:pos="4961"/>
        <w:tab w:val="left" w:pos="5670"/>
        <w:tab w:val="right" w:pos="8363"/>
      </w:tabs>
      <w:spacing w:after="280" w:line="280" w:lineRule="atLeast"/>
    </w:pPr>
    <w:rPr>
      <w:rFonts w:ascii="Arial" w:hAnsi="Arial" w:eastAsia="宋体" w:cs="Times New Roman"/>
      <w:kern w:val="16"/>
      <w:sz w:val="20"/>
      <w:szCs w:val="20"/>
      <w:lang w:val="en-GB" w:eastAsia="en-US"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 w:val="clear" w:pos="709"/>
        <w:tab w:val="clear" w:pos="1418"/>
        <w:tab w:val="clear" w:pos="2126"/>
        <w:tab w:val="clear" w:pos="2835"/>
        <w:tab w:val="clear" w:pos="3544"/>
        <w:tab w:val="clear" w:pos="4253"/>
        <w:tab w:val="clear" w:pos="4961"/>
        <w:tab w:val="clear" w:pos="5670"/>
        <w:tab w:val="clear" w:pos="8363"/>
      </w:tabs>
      <w:snapToGrid w:val="0"/>
      <w:spacing w:line="240" w:lineRule="atLeas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 w:val="clear" w:pos="709"/>
        <w:tab w:val="clear" w:pos="1418"/>
        <w:tab w:val="clear" w:pos="2126"/>
        <w:tab w:val="clear" w:pos="2835"/>
        <w:tab w:val="clear" w:pos="3544"/>
        <w:tab w:val="clear" w:pos="4253"/>
        <w:tab w:val="clear" w:pos="4961"/>
        <w:tab w:val="clear" w:pos="5670"/>
        <w:tab w:val="clear" w:pos="8363"/>
      </w:tabs>
      <w:snapToGrid w:val="0"/>
      <w:spacing w:line="240" w:lineRule="atLeast"/>
      <w:jc w:val="center"/>
    </w:pPr>
    <w:rPr>
      <w:sz w:val="18"/>
      <w:szCs w:val="18"/>
    </w:rPr>
  </w:style>
  <w:style w:type="paragraph" w:styleId="4">
    <w:name w:val="footnote text"/>
    <w:basedOn w:val="1"/>
    <w:link w:val="12"/>
    <w:semiHidden/>
    <w:unhideWhenUsed/>
    <w:qFormat/>
    <w:uiPriority w:val="99"/>
    <w:pPr>
      <w:widowControl w:val="0"/>
      <w:tabs>
        <w:tab w:val="clear" w:pos="709"/>
        <w:tab w:val="clear" w:pos="1418"/>
        <w:tab w:val="clear" w:pos="2126"/>
        <w:tab w:val="clear" w:pos="2835"/>
        <w:tab w:val="clear" w:pos="3544"/>
        <w:tab w:val="clear" w:pos="4253"/>
        <w:tab w:val="clear" w:pos="4961"/>
        <w:tab w:val="clear" w:pos="5670"/>
        <w:tab w:val="clear" w:pos="8363"/>
      </w:tabs>
      <w:snapToGrid w:val="0"/>
      <w:spacing w:after="0" w:line="240" w:lineRule="auto"/>
    </w:pPr>
    <w:rPr>
      <w:rFonts w:asciiTheme="minorHAnsi" w:hAnsiTheme="minorHAnsi" w:eastAsiaTheme="minorEastAsia" w:cstheme="minorBidi"/>
      <w:kern w:val="2"/>
      <w:sz w:val="18"/>
      <w:szCs w:val="18"/>
      <w:lang w:val="en-US" w:eastAsia="zh-CN"/>
    </w:rPr>
  </w:style>
  <w:style w:type="table" w:styleId="6">
    <w:name w:val="Table Grid"/>
    <w:basedOn w:val="5"/>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footnote reference"/>
    <w:basedOn w:val="7"/>
    <w:semiHidden/>
    <w:unhideWhenUsed/>
    <w:qFormat/>
    <w:uiPriority w:val="99"/>
    <w:rPr>
      <w:vertAlign w:val="superscript"/>
    </w:rPr>
  </w:style>
  <w:style w:type="character" w:customStyle="1" w:styleId="9">
    <w:name w:val="页眉 Char"/>
    <w:basedOn w:val="7"/>
    <w:link w:val="3"/>
    <w:qFormat/>
    <w:uiPriority w:val="99"/>
    <w:rPr>
      <w:rFonts w:ascii="Arial" w:hAnsi="Arial" w:eastAsia="宋体" w:cs="Times New Roman"/>
      <w:kern w:val="16"/>
      <w:sz w:val="18"/>
      <w:szCs w:val="18"/>
      <w:lang w:val="en-GB" w:eastAsia="en-US"/>
    </w:rPr>
  </w:style>
  <w:style w:type="character" w:customStyle="1" w:styleId="10">
    <w:name w:val="页脚 Char"/>
    <w:basedOn w:val="7"/>
    <w:link w:val="2"/>
    <w:qFormat/>
    <w:uiPriority w:val="99"/>
    <w:rPr>
      <w:rFonts w:ascii="Arial" w:hAnsi="Arial" w:eastAsia="宋体" w:cs="Times New Roman"/>
      <w:kern w:val="16"/>
      <w:sz w:val="18"/>
      <w:szCs w:val="18"/>
      <w:lang w:val="en-GB" w:eastAsia="en-US"/>
    </w:rPr>
  </w:style>
  <w:style w:type="paragraph" w:styleId="11">
    <w:name w:val="List Paragraph"/>
    <w:basedOn w:val="1"/>
    <w:qFormat/>
    <w:uiPriority w:val="34"/>
    <w:pPr>
      <w:ind w:firstLine="420" w:firstLineChars="200"/>
    </w:pPr>
  </w:style>
  <w:style w:type="character" w:customStyle="1" w:styleId="12">
    <w:name w:val="脚注文本 Char"/>
    <w:basedOn w:val="7"/>
    <w:link w:val="4"/>
    <w:semiHidden/>
    <w:qFormat/>
    <w:uiPriority w:val="99"/>
    <w:rPr>
      <w:sz w:val="18"/>
      <w:szCs w:val="18"/>
    </w:rPr>
  </w:style>
  <w:style w:type="character" w:customStyle="1" w:styleId="13">
    <w:name w:val="fontstyle01"/>
    <w:basedOn w:val="7"/>
    <w:qFormat/>
    <w:uiPriority w:val="0"/>
    <w:rPr>
      <w:rFonts w:hint="default" w:ascii="CIDFont+F1" w:hAnsi="CIDFont+F1"/>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137</Words>
  <Characters>784</Characters>
  <Lines>6</Lines>
  <Paragraphs>1</Paragraphs>
  <TotalTime>63</TotalTime>
  <ScaleCrop>false</ScaleCrop>
  <LinksUpToDate>false</LinksUpToDate>
  <CharactersWithSpaces>920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2021-12-23T15:33:00Z</dcterms:created>
  <dc:creator>Huang Shiheng</dc:creator>
  <cp:lastModifiedBy>greatwall</cp:lastModifiedBy>
  <dcterms:modified xsi:type="dcterms:W3CDTF">2022-01-12T11:22:37Z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