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napToGrid w:val="0"/>
        <w:spacing w:after="120"/>
        <w:jc w:val="center"/>
        <w:rPr>
          <w:rFonts w:ascii="Times New Roman" w:eastAsia="华文楷体" w:hAnsi="Times New Roman"/>
          <w:b/>
          <w:bCs/>
          <w:sz w:val="24"/>
          <w:szCs w:val="24"/>
        </w:rPr>
      </w:pPr>
      <w:r>
        <w:rPr>
          <w:rFonts w:ascii="Times New Roman" w:eastAsia="华文楷体" w:hAnsi="Times New Roman"/>
          <w:b/>
          <w:bCs/>
          <w:sz w:val="24"/>
          <w:szCs w:val="24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2236"/>
        <w:gridCol w:w="4713"/>
      </w:tblGrid>
      <w:t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Altor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基金管理公司与西马克公司收购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 xml:space="preserve">KAEFER </w:t>
            </w:r>
            <w:proofErr w:type="spellStart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Isoliertechnik</w:t>
            </w:r>
            <w:proofErr w:type="spellEnd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公司股权案</w:t>
            </w:r>
          </w:p>
        </w:tc>
      </w:tr>
      <w:tr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交易概况</w:t>
            </w:r>
          </w:p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（限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200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本交易涉及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Altor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基金管理公司和西马克公司收购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 xml:space="preserve">KAEFER </w:t>
            </w:r>
            <w:proofErr w:type="spellStart"/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Isoliertechnik</w:t>
            </w:r>
            <w:proofErr w:type="spellEnd"/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公司（“</w:t>
            </w:r>
            <w:r>
              <w:rPr>
                <w:rFonts w:ascii="Times New Roman" w:eastAsia="华文楷体" w:hAnsi="Times New Roman" w:hint="eastAsia"/>
                <w:b/>
                <w:bCs/>
                <w:kern w:val="0"/>
                <w:sz w:val="24"/>
                <w:szCs w:val="24"/>
              </w:rPr>
              <w:t>目标公司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”）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50%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的股权与共同控制权。本交易前，目标公司由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KAEFER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控股公司单独控制。本交易完成后，目标公司将由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Altor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基金管理公司、西马克公司和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KAEFER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控股公司共同控制。</w:t>
            </w:r>
          </w:p>
        </w:tc>
      </w:tr>
      <w:tr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参与集中的</w:t>
            </w:r>
          </w:p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236" w:type="dxa"/>
          </w:tcPr>
          <w:p>
            <w:pPr>
              <w:snapToGrid w:val="0"/>
              <w:spacing w:after="120"/>
              <w:jc w:val="left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1.</w:t>
            </w:r>
            <w:r>
              <w:rPr>
                <w:rFonts w:ascii="Times New Roman" w:eastAsia="仿宋_GB2312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Altor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基金管理公司</w:t>
            </w:r>
          </w:p>
        </w:tc>
        <w:tc>
          <w:tcPr>
            <w:tcW w:w="4713" w:type="dxa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Altor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基金管理公司管理并控制直接参与本交易的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Altor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第五基金。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Altor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第五基金是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Altor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基金的一部分，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Altor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基金包括多个私</w:t>
            </w:r>
            <w:proofErr w:type="gramStart"/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募股权基金</w:t>
            </w:r>
            <w:proofErr w:type="gramEnd"/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，主要投资和发展中等规模公司。</w:t>
            </w:r>
          </w:p>
        </w:tc>
      </w:tr>
      <w:tr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2236" w:type="dxa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2.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西马克公司</w:t>
            </w:r>
          </w:p>
        </w:tc>
        <w:tc>
          <w:tcPr>
            <w:tcW w:w="4713" w:type="dxa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西马克公司是一个家族企业，总部位于德国杜塞尔多夫，公司从事冶炼和轧制技术领域的设备和机械制造业务。</w:t>
            </w:r>
          </w:p>
        </w:tc>
      </w:tr>
      <w:tr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2236" w:type="dxa"/>
          </w:tcPr>
          <w:p>
            <w:pPr>
              <w:snapToGrid w:val="0"/>
              <w:spacing w:after="120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KAEFER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控股公司</w:t>
            </w:r>
          </w:p>
        </w:tc>
        <w:tc>
          <w:tcPr>
            <w:tcW w:w="4713" w:type="dxa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除持有目标公司的权益外，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KAEFER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控股公司</w:t>
            </w:r>
            <w:proofErr w:type="gramStart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不</w:t>
            </w:r>
            <w:proofErr w:type="gramEnd"/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持有任何其他业务权益。目标公司是一家提供工业服务的家族企业。</w:t>
            </w:r>
          </w:p>
        </w:tc>
      </w:tr>
      <w:tr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1.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15%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。</w:t>
            </w:r>
          </w:p>
        </w:tc>
      </w:tr>
      <w:tr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2.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。</w:t>
            </w:r>
          </w:p>
        </w:tc>
      </w:tr>
      <w:tr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3.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。</w:t>
            </w:r>
          </w:p>
        </w:tc>
      </w:tr>
      <w:tr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4.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5.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6.</w:t>
            </w: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相关产品市场：绝缘服务市场</w:t>
            </w:r>
          </w:p>
          <w:p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相关地域市场：中国市场</w:t>
            </w:r>
          </w:p>
          <w:p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市场份额：目标公司</w:t>
            </w: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华文楷体" w:hAnsi="Times New Roman"/>
                <w:sz w:val="24"/>
                <w:szCs w:val="24"/>
              </w:rPr>
              <w:t>0-5]%</w:t>
            </w:r>
          </w:p>
        </w:tc>
      </w:tr>
    </w:tbl>
    <w:p>
      <w:pPr>
        <w:snapToGrid w:val="0"/>
        <w:spacing w:after="120"/>
        <w:rPr>
          <w:rFonts w:ascii="Times New Roman" w:hAnsi="Times New Roman"/>
        </w:rPr>
      </w:pPr>
    </w:p>
    <w:sectPr>
      <w:footerReference w:type="default" r:id="rId6"/>
      <w:footerReference w:type="first" r:id="rId7"/>
      <w:pgSz w:w="11906" w:h="16838"/>
      <w:pgMar w:top="1440" w:right="1800" w:bottom="1134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7"/>
      <w:spacing w:line="2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7"/>
      <w:spacing w:line="20" w:lineRule="exact"/>
    </w:pPr>
    <w:r>
      <w:rPr>
        <w:noProof/>
        <w:lang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zmpTrailer_2832_1B" o:spid="_x0000_s1026" type="#_x0000_t202" style="position:absolute;left:0;text-align:left;margin-left:0;margin-top:-9.95pt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" filled="f" stroked="f">
          <v:textbox style="mso-next-textbox:#zzmpTrailer_2832_1B" inset="0,0,0,0">
            <w:txbxContent>
              <w:p>
                <w:pPr>
                  <w:pStyle w:val="MacPacTrailer"/>
                </w:pPr>
                <w:fldSimple w:instr=" DOCPROPERTY  docId ">
                  <w:r>
                    <w:t>-</w:t>
                  </w:r>
                </w:fldSimple>
                <w:r>
                  <w:fldChar w:fldCharType="begin"/>
                </w:r>
                <w:r>
                  <w:instrText xml:space="preserve"> IF </w:instrText>
                </w:r>
                <w:fldSimple w:instr=" DOCPROPERTY  docIncludeVersion ">
                  <w:r>
                    <w:instrText>true</w:instrText>
                  </w:r>
                </w:fldSimple>
                <w:r>
                  <w:instrText xml:space="preserve"> = true "/</w:instrText>
                </w:r>
                <w:fldSimple w:instr=" DOCPROPERTY  docVersion ">
                  <w:r>
                    <w:instrText>0</w:instrText>
                  </w:r>
                </w:fldSimple>
                <w:r>
                  <w:instrText>"</w:instrText>
                </w:r>
                <w:r>
                  <w:fldChar w:fldCharType="separate"/>
                </w:r>
                <w:r>
                  <w:rPr>
                    <w:noProof/>
                  </w:rPr>
                  <w:t>/0</w:t>
                </w:r>
                <w:r>
                  <w:fldChar w:fldCharType="end"/>
                </w:r>
                <w:r>
                  <w:t xml:space="preserve">   </w:t>
                </w:r>
                <w:r>
                  <w:fldChar w:fldCharType="begin"/>
                </w:r>
                <w:r>
                  <w:instrText xml:space="preserve"> IF </w:instrText>
                </w:r>
                <w:fldSimple w:instr=" DOCPROPERTY  docIncludeCliMat ">
                  <w:r>
                    <w:instrText>true</w:instrText>
                  </w:r>
                </w:fldSimple>
                <w:r>
                  <w:instrText xml:space="preserve"> = true </w:instrText>
                </w:r>
                <w:r>
                  <w:fldChar w:fldCharType="begin"/>
                </w:r>
                <w:r>
                  <w:instrText xml:space="preserve"> DOCPROPERTY  docCliMat </w:instrText>
                </w:r>
                <w:r>
                  <w:fldChar w:fldCharType="end"/>
                </w:r>
                <w:r>
                  <w:instrText xml:space="preserve">  </w:instrText>
                </w:r>
                <w:r>
                  <w:fldChar w:fldCharType="end"/>
                </w:r>
              </w:p>
              <w:p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O0MDUwsDC1MDAzMTdT0lEKTi0uzszPAykwrAUADs23ISwAAAA="/>
    <w:docVar w:name="ForteTempFile" w:val="C:\Users\a-cretford\AppData\Local\Temp\9\3da74179-3a33-42f6-aff9-f766e26957b2.docx"/>
    <w:docVar w:name="zzmp10LastTrailerInserted" w:val="^`~#mp!@2$.#+┗┨7;8{ŗmE⌐”D⌞ ã!p½₰bCÈ^‡¿T§¤!¨Ã^ÑÉPÕ5±ØKÞ@¸ï⌊¡Ãwy⌑ÛAG¦Ä&amp;]ÐÐ⌄÷á⌅․Ô4H&quot;⌠=⌚«)\ť$‥⌞⌊:ô´æ3&gt;$G•†À„Æ²$~æ_j´ŤO{*Ì4ƖÏ@sŗÂ!*¼‽₰½⌐\⌜®ˠ-`.»℥øSæ4}â­ÍŤ;&lt;èò-'⌗¯}jPëªb‗⌑ì⌖[ºƂJŕ¹SÒ“⌟”żgËBÈ⌃ŖŤ⌚^V:OÆ‡6ÛqYÍ⌚⌉VöUß⌇k⌄°Ä&gt;ñÝ⌑ÊdqË⌐Á⌒ò⌐×V~3Ï⌇«}TYÊQV011"/>
    <w:docVar w:name="zzmp10LastTrailerInserted_2832" w:val="^`~#mp!@2$.#+┗┨7;8{ŗmE⌐”D⌞ ã!p½₰bCÈ^‡¿T§¤!¨Ã^ÑÉPÕ5±ØKÞ@¸ï⌊¡Ãwy⌑ÛAG¦Ä&amp;]ÐÐ⌄÷á⌅․Ô4H&quot;⌠=⌚«)\ť$‥⌞⌊:ô´æ3&gt;$G•†À„Æ²$~æ_j´ŤO{*Ì4ƖÏ@sŗÂ!*¼‽₰½⌐\⌜®ˠ-`.»℥øSæ4}â­ÍŤ;&lt;èò-'⌗¯}jPëªb‗⌑ì⌖[ºƂJŕ¹SÒ“⌟”żgËBÈ⌃ŖŤ⌚^V:OÆ‡6ÛqYÍ⌚⌉VöUß⌇k⌄°Ä&gt;ñÝ⌑ÊdqË⌐Á⌒ò⌐×V~3Ï⌇«}TYÊQV011"/>
    <w:docVar w:name="zzmp10mSEGsValidated" w:val="1"/>
    <w:docVar w:name="zzmpCompatibilityMode" w:val="15"/>
    <w:docVar w:name="zzmpLegacyTrailerRemoved" w:val="True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A70EC15-DA8B-41DD-A93C-25EB305A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华文楷体" w:hAnsi="Times New Roman" w:cs="Calibri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Segoe UI" w:eastAsia="宋体" w:hAnsi="Segoe UI" w:cs="Segoe UI"/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kern w:val="2"/>
      <w:sz w:val="21"/>
      <w:szCs w:val="22"/>
    </w:rPr>
  </w:style>
  <w:style w:type="paragraph" w:styleId="a7">
    <w:name w:val="footer"/>
    <w:basedOn w:val="a"/>
    <w:link w:val="a8"/>
    <w:uiPriority w:val="99"/>
    <w:unhideWhenUsed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kern w:val="2"/>
      <w:sz w:val="21"/>
      <w:szCs w:val="22"/>
    </w:rPr>
  </w:style>
  <w:style w:type="paragraph" w:customStyle="1" w:styleId="MacPacTrailer">
    <w:name w:val="MacPac Trailer"/>
    <w:pPr>
      <w:widowControl w:val="0"/>
      <w:spacing w:line="170" w:lineRule="exact"/>
    </w:pPr>
    <w:rPr>
      <w:sz w:val="14"/>
      <w:szCs w:val="22"/>
    </w:rPr>
  </w:style>
  <w:style w:type="character" w:styleId="a9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FreshfieldsBruckhausDeringer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Freshfields Bruckhaus Deringer</dc:creator>
  <cp:keywords/>
  <dc:description/>
  <cp:lastModifiedBy>立方</cp:lastModifiedBy>
  <cp:revision>7</cp:revision>
  <dcterms:created xsi:type="dcterms:W3CDTF">2021-09-14T05:52:00Z</dcterms:created>
  <dcterms:modified xsi:type="dcterms:W3CDTF">2022-01-18T13:10:00Z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-</vt:lpwstr>
  </property>
  <property fmtid="{D5CDD505-2E9C-101B-9397-08002B2CF9AE}" pid="3" name="docVersion">
    <vt:lpwstr>0</vt:lpwstr>
  </property>
  <property fmtid="{D5CDD505-2E9C-101B-9397-08002B2CF9AE}" pid="4" name="docCliMat">
    <vt:lpwstr/>
  </property>
  <property fmtid="{D5CDD505-2E9C-101B-9397-08002B2CF9AE}" pid="5" name="docIncludeCliMat">
    <vt:lpwstr>true</vt:lpwstr>
  </property>
  <property fmtid="{D5CDD505-2E9C-101B-9397-08002B2CF9AE}" pid="6" name="docIncludeVersion">
    <vt:lpwstr>true</vt:lpwstr>
  </property>
</Properties>
</file>