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0EF6" w14:textId="77777777" w:rsidR="009F1824" w:rsidRDefault="009F1824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color w:val="000000" w:themeColor="text1"/>
          <w:szCs w:val="21"/>
        </w:rPr>
      </w:pPr>
    </w:p>
    <w:p w14:paraId="1B56E1D0" w14:textId="77777777" w:rsidR="009F1824" w:rsidRDefault="003B2082">
      <w:pPr>
        <w:spacing w:line="440" w:lineRule="exact"/>
        <w:jc w:val="center"/>
        <w:rPr>
          <w:rFonts w:ascii="黑体" w:eastAsia="黑体" w:hAnsi="Times New Roman"/>
          <w:color w:val="000000" w:themeColor="text1"/>
          <w:sz w:val="30"/>
          <w:szCs w:val="30"/>
        </w:rPr>
      </w:pPr>
      <w:r>
        <w:rPr>
          <w:rFonts w:ascii="黑体" w:eastAsia="黑体" w:hAnsi="Times New Roman" w:hint="eastAsia"/>
          <w:color w:val="000000" w:themeColor="text1"/>
          <w:sz w:val="30"/>
          <w:szCs w:val="30"/>
        </w:rPr>
        <w:t>经营者集中简易案件公示表</w:t>
      </w:r>
    </w:p>
    <w:p w14:paraId="6F21B882" w14:textId="77777777" w:rsidR="009F1824" w:rsidRDefault="009F1824">
      <w:pPr>
        <w:spacing w:line="440" w:lineRule="exact"/>
        <w:rPr>
          <w:rFonts w:ascii="黑体" w:eastAsia="黑体" w:hAnsi="Times New Roman"/>
          <w:color w:val="000000" w:themeColor="text1"/>
          <w:sz w:val="28"/>
          <w:szCs w:val="28"/>
        </w:rPr>
      </w:pPr>
    </w:p>
    <w:p w14:paraId="7BB04C28" w14:textId="77777777" w:rsidR="009F1824" w:rsidRDefault="009F1824">
      <w:pPr>
        <w:spacing w:line="440" w:lineRule="exact"/>
        <w:ind w:firstLineChars="302" w:firstLine="846"/>
        <w:rPr>
          <w:rFonts w:ascii="仿宋_GB2312" w:eastAsia="仿宋_GB2312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C097D" w14:paraId="0A1C1CBC" w14:textId="77777777">
        <w:tc>
          <w:tcPr>
            <w:tcW w:w="1809" w:type="dxa"/>
            <w:shd w:val="clear" w:color="auto" w:fill="D9D9D9"/>
            <w:vAlign w:val="center"/>
          </w:tcPr>
          <w:p w14:paraId="3566A154" w14:textId="77777777" w:rsidR="001C097D" w:rsidRDefault="001C097D" w:rsidP="001C097D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D47E4AA" w14:textId="7F6F1684" w:rsidR="001C097D" w:rsidRDefault="001C097D" w:rsidP="001C097D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洛阳国宏投资控股集团有限公司收购洛阳LYC轴承有限公司股权案</w:t>
            </w:r>
          </w:p>
        </w:tc>
      </w:tr>
      <w:tr w:rsidR="001C097D" w:rsidRPr="00921049" w14:paraId="0BC5351B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3871D01" w14:textId="77777777" w:rsidR="001C097D" w:rsidRDefault="001C097D" w:rsidP="001C097D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交易概况</w:t>
            </w:r>
          </w:p>
          <w:p w14:paraId="21709EDC" w14:textId="77777777" w:rsidR="001C097D" w:rsidRDefault="001C097D" w:rsidP="001C097D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788B1C2F" w14:textId="23C5CC77" w:rsidR="001C097D" w:rsidRDefault="001C097D" w:rsidP="001C097D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bookmarkStart w:id="0" w:name="_Hlk100570058"/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根据</w:t>
            </w:r>
            <w:r w:rsidR="00921049" w:rsidRP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洛阳市人民政府国有资产监督管理委员会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(以下简称“</w:t>
            </w: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洛阳市国资委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”)</w:t>
            </w: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的通知，洛阳市国资委拟将其持有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的</w:t>
            </w: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洛阳LYC轴承有限公司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（以下简称“洛轴公司”）</w:t>
            </w: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96.4%股权以增资的形式作价出资到洛阳国宏投资控股集团有限公司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（以下简称“洛阳国宏集团”）</w:t>
            </w: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。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本次交易前，洛阳市国资委和洛阳国宏集团分别持有洛轴公司9</w:t>
            </w:r>
            <w:r w:rsidR="00921049"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  <w:t>6.4%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股权和3</w:t>
            </w:r>
            <w:r w:rsidR="00921049"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  <w:t>.6%</w:t>
            </w:r>
            <w:r w:rsidR="0092104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股权；本次交易完成后，洛阳国宏集团持有</w:t>
            </w:r>
            <w:r w:rsidR="0057542A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洛轴公司1</w:t>
            </w:r>
            <w:r w:rsidR="0057542A"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  <w:t>00%</w:t>
            </w:r>
            <w:r w:rsidR="0057542A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股权，单独控制洛轴公司。</w:t>
            </w:r>
            <w:bookmarkEnd w:id="0"/>
          </w:p>
        </w:tc>
      </w:tr>
      <w:tr w:rsidR="009F1824" w14:paraId="0A766031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93145E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参与集中的</w:t>
            </w:r>
          </w:p>
          <w:p w14:paraId="50811F88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04A385E4" w14:textId="54493B69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1、</w:t>
            </w:r>
            <w:r w:rsidR="00EB40DA"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洛阳国宏集团</w:t>
            </w:r>
          </w:p>
        </w:tc>
        <w:tc>
          <w:tcPr>
            <w:tcW w:w="5153" w:type="dxa"/>
          </w:tcPr>
          <w:p w14:paraId="10543B5F" w14:textId="2B0F1CBC" w:rsidR="009F1824" w:rsidRDefault="00EB40DA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洛阳国宏集团</w:t>
            </w:r>
            <w:r w:rsidRPr="00EB40DA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成立于2013年6月，是洛阳市属国有资本投资运营公司</w:t>
            </w:r>
            <w:r w:rsidR="00DC0BDB" w:rsidRPr="00DC0BD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。其</w:t>
            </w:r>
            <w:r w:rsidR="001C097D"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主营业务板块为</w:t>
            </w:r>
            <w:r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石油石化产品</w:t>
            </w:r>
            <w:r w:rsidR="001C097D"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商品贸易、石油石化产品、劳务派遣及其他业务</w:t>
            </w:r>
            <w:r w:rsidR="00DC0BDB" w:rsidRPr="00DC0BD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。</w:t>
            </w:r>
            <w:r w:rsidR="0057542A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洛阳国宏集团的实际控制人为洛阳市国资委。</w:t>
            </w:r>
          </w:p>
        </w:tc>
      </w:tr>
      <w:tr w:rsidR="009F1824" w14:paraId="4B5FFC06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A54DF82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250F88C5" w14:textId="08829783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2、</w:t>
            </w:r>
            <w:r w:rsidR="00EB40DA" w:rsidRP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洛轴公司</w:t>
            </w:r>
          </w:p>
        </w:tc>
        <w:tc>
          <w:tcPr>
            <w:tcW w:w="5153" w:type="dxa"/>
          </w:tcPr>
          <w:p w14:paraId="5FFEC1DC" w14:textId="25D9BB7F" w:rsidR="009F1824" w:rsidRDefault="006F7B59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6F7B5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洛轴公司成立于2004年12月</w:t>
            </w:r>
            <w:r w:rsidR="00EB40DA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，</w:t>
            </w:r>
            <w:r w:rsidR="00DC0BDB" w:rsidRPr="00DC0BD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主营业务范围</w:t>
            </w:r>
            <w:r w:rsidR="00E71AC9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为</w:t>
            </w:r>
            <w:r w:rsid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轴承及</w:t>
            </w:r>
            <w:r w:rsidR="00914704" w:rsidRPr="00914704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相关零部件</w:t>
            </w:r>
            <w:r w:rsidR="001C097D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生产和销售</w:t>
            </w:r>
            <w:r w:rsidR="00DC0BDB" w:rsidRPr="00DC0BDB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。</w:t>
            </w:r>
            <w:r w:rsidR="0057542A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洛轴公司的实际控制人为洛阳市国资委。</w:t>
            </w:r>
          </w:p>
        </w:tc>
      </w:tr>
      <w:tr w:rsidR="009F1824" w14:paraId="7811B14C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C54499F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89931A1" w14:textId="5656CB34" w:rsidR="009F1824" w:rsidRDefault="006F7B59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</w:t>
            </w:r>
            <w:r w:rsidR="003B208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9F1824" w14:paraId="02D7A4A2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9CB9935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2C175F8" w14:textId="43BB08A2" w:rsidR="009F1824" w:rsidRDefault="006F7B59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</w:t>
            </w:r>
            <w:r w:rsidR="003B208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9F1824" w14:paraId="58DFFCD2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5D37FF1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DE01705" w14:textId="423A47F1" w:rsidR="009F1824" w:rsidRDefault="006F7B59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sym w:font="Wingdings" w:char="00FE"/>
            </w:r>
            <w:r w:rsidR="003B208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9F1824" w14:paraId="77A668FB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3F2F49C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A9EC2DD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9F1824" w14:paraId="33983D7D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6165713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2175156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9F1824" w14:paraId="3A8A9A87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27BB7CD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F473A0C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9F1824" w14:paraId="04CEDB2A" w14:textId="77777777">
        <w:tc>
          <w:tcPr>
            <w:tcW w:w="1809" w:type="dxa"/>
            <w:shd w:val="clear" w:color="auto" w:fill="D9D9D9"/>
            <w:vAlign w:val="center"/>
          </w:tcPr>
          <w:p w14:paraId="72570169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EDE0738" w14:textId="3BBB601B" w:rsidR="009F1824" w:rsidRDefault="003B2082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</w:t>
            </w:r>
            <w:r w:rsidR="000374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产品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市场：</w:t>
            </w:r>
            <w:r w:rsidR="006F7B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滚动轴承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76C79C5F" w14:textId="011C7A8E" w:rsidR="009F1824" w:rsidRDefault="003B2082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相关地域市场：中国</w:t>
            </w:r>
            <w:r w:rsidR="0011745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境内</w:t>
            </w:r>
            <w:r w:rsidR="0057542A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市场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62C6EF15" w14:textId="290EFE03" w:rsidR="00122E28" w:rsidRPr="00DD121D" w:rsidRDefault="003B2082" w:rsidP="006F7B59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相关市场份额：</w:t>
            </w:r>
            <w:r w:rsidR="006F7B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洛轴公司</w:t>
            </w:r>
            <w:r w:rsidR="003058BF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[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-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%</w:t>
            </w:r>
            <w:r w:rsidR="003058BF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]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0EBA8844" w14:textId="77777777" w:rsidR="009F1824" w:rsidRDefault="009F1824">
      <w:pPr>
        <w:snapToGrid w:val="0"/>
        <w:spacing w:line="240" w:lineRule="exact"/>
        <w:jc w:val="left"/>
        <w:rPr>
          <w:rFonts w:ascii="楷体_GB2312" w:eastAsia="楷体_GB2312" w:hAnsi="宋体"/>
          <w:color w:val="000000" w:themeColor="text1"/>
          <w:sz w:val="24"/>
          <w:szCs w:val="24"/>
        </w:rPr>
      </w:pPr>
    </w:p>
    <w:p w14:paraId="250A6069" w14:textId="77777777" w:rsidR="009F1824" w:rsidRDefault="003B2082">
      <w:pPr>
        <w:snapToGrid w:val="0"/>
        <w:spacing w:line="240" w:lineRule="exact"/>
        <w:jc w:val="left"/>
        <w:rPr>
          <w:rFonts w:ascii="方正仿宋_GBK" w:eastAsia="方正仿宋_GBK" w:hAnsi="宋体"/>
          <w:color w:val="000000" w:themeColor="text1"/>
          <w:sz w:val="24"/>
          <w:szCs w:val="24"/>
        </w:rPr>
      </w:pP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t>注解：</w:t>
      </w:r>
    </w:p>
    <w:p w14:paraId="1A216F78" w14:textId="77777777" w:rsidR="009F1824" w:rsidRDefault="003B2082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color w:val="000000" w:themeColor="text1"/>
          <w:sz w:val="24"/>
          <w:szCs w:val="24"/>
        </w:rPr>
      </w:pP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0FBE0179" w14:textId="77777777" w:rsidR="009F1824" w:rsidRDefault="003B2082">
      <w:pPr>
        <w:spacing w:line="360" w:lineRule="auto"/>
        <w:ind w:firstLineChars="200" w:firstLine="480"/>
        <w:rPr>
          <w:rFonts w:ascii="方正仿宋_GBK" w:eastAsia="方正仿宋_GBK" w:hAnsi="Times New Roman"/>
          <w:color w:val="000000" w:themeColor="text1"/>
          <w:sz w:val="28"/>
          <w:szCs w:val="28"/>
        </w:rPr>
      </w:pP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074B3F40" w14:textId="77777777" w:rsidR="009F1824" w:rsidRDefault="009F1824">
      <w:pPr>
        <w:rPr>
          <w:color w:val="000000" w:themeColor="text1"/>
        </w:rPr>
      </w:pPr>
    </w:p>
    <w:p w14:paraId="6CC627E1" w14:textId="77777777" w:rsidR="009F1824" w:rsidRDefault="009F1824">
      <w:pPr>
        <w:rPr>
          <w:color w:val="000000" w:themeColor="text1"/>
        </w:rPr>
      </w:pPr>
    </w:p>
    <w:sectPr w:rsidR="009F18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6BE18" w14:textId="77777777" w:rsidR="009E3FE6" w:rsidRDefault="009E3FE6" w:rsidP="003058BF">
      <w:r>
        <w:separator/>
      </w:r>
    </w:p>
  </w:endnote>
  <w:endnote w:type="continuationSeparator" w:id="0">
    <w:p w14:paraId="0DD10556" w14:textId="77777777" w:rsidR="009E3FE6" w:rsidRDefault="009E3FE6" w:rsidP="0030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方正仿宋_GBK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A6408" w14:textId="77777777" w:rsidR="009E3FE6" w:rsidRDefault="009E3FE6" w:rsidP="003058BF">
      <w:r>
        <w:separator/>
      </w:r>
    </w:p>
  </w:footnote>
  <w:footnote w:type="continuationSeparator" w:id="0">
    <w:p w14:paraId="4984742E" w14:textId="77777777" w:rsidR="009E3FE6" w:rsidRDefault="009E3FE6" w:rsidP="00305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37400"/>
    <w:rsid w:val="00050FC6"/>
    <w:rsid w:val="000B2875"/>
    <w:rsid w:val="000D7EBA"/>
    <w:rsid w:val="001164CD"/>
    <w:rsid w:val="00117456"/>
    <w:rsid w:val="00122E28"/>
    <w:rsid w:val="00155717"/>
    <w:rsid w:val="001837A3"/>
    <w:rsid w:val="001C097D"/>
    <w:rsid w:val="001E4043"/>
    <w:rsid w:val="002B6283"/>
    <w:rsid w:val="002E7207"/>
    <w:rsid w:val="003058BF"/>
    <w:rsid w:val="0039713D"/>
    <w:rsid w:val="003A0DD2"/>
    <w:rsid w:val="003B2082"/>
    <w:rsid w:val="003C0AEB"/>
    <w:rsid w:val="003D62D6"/>
    <w:rsid w:val="004A35DF"/>
    <w:rsid w:val="004F7688"/>
    <w:rsid w:val="00550301"/>
    <w:rsid w:val="0057542A"/>
    <w:rsid w:val="005D792B"/>
    <w:rsid w:val="006124C6"/>
    <w:rsid w:val="00640F90"/>
    <w:rsid w:val="006467D8"/>
    <w:rsid w:val="006A531B"/>
    <w:rsid w:val="006F7693"/>
    <w:rsid w:val="006F7B59"/>
    <w:rsid w:val="00710140"/>
    <w:rsid w:val="0071165F"/>
    <w:rsid w:val="0076592E"/>
    <w:rsid w:val="00773887"/>
    <w:rsid w:val="007B5472"/>
    <w:rsid w:val="007F2275"/>
    <w:rsid w:val="00801533"/>
    <w:rsid w:val="008A1BA8"/>
    <w:rsid w:val="008B5BA2"/>
    <w:rsid w:val="008E7CB8"/>
    <w:rsid w:val="00914704"/>
    <w:rsid w:val="00915F0F"/>
    <w:rsid w:val="00921049"/>
    <w:rsid w:val="0093220F"/>
    <w:rsid w:val="00944DA6"/>
    <w:rsid w:val="00944E0A"/>
    <w:rsid w:val="009532DF"/>
    <w:rsid w:val="00977E62"/>
    <w:rsid w:val="00997019"/>
    <w:rsid w:val="009A5029"/>
    <w:rsid w:val="009C1E54"/>
    <w:rsid w:val="009D38D5"/>
    <w:rsid w:val="009E106C"/>
    <w:rsid w:val="009E3FE6"/>
    <w:rsid w:val="009F1824"/>
    <w:rsid w:val="00A53F26"/>
    <w:rsid w:val="00AA0CC5"/>
    <w:rsid w:val="00AB2FFE"/>
    <w:rsid w:val="00AE5D8F"/>
    <w:rsid w:val="00B16AFE"/>
    <w:rsid w:val="00B65DD5"/>
    <w:rsid w:val="00B93BBD"/>
    <w:rsid w:val="00BD10B6"/>
    <w:rsid w:val="00C07076"/>
    <w:rsid w:val="00C266C6"/>
    <w:rsid w:val="00C72552"/>
    <w:rsid w:val="00CB00DF"/>
    <w:rsid w:val="00D00E4B"/>
    <w:rsid w:val="00D237C0"/>
    <w:rsid w:val="00D40352"/>
    <w:rsid w:val="00D73C72"/>
    <w:rsid w:val="00DC0BDB"/>
    <w:rsid w:val="00DD121D"/>
    <w:rsid w:val="00E0592B"/>
    <w:rsid w:val="00E30329"/>
    <w:rsid w:val="00E31738"/>
    <w:rsid w:val="00E71AC9"/>
    <w:rsid w:val="00E86786"/>
    <w:rsid w:val="00EB40DA"/>
    <w:rsid w:val="00ED2F80"/>
    <w:rsid w:val="00ED71A4"/>
    <w:rsid w:val="00F1624E"/>
    <w:rsid w:val="00F32F8A"/>
    <w:rsid w:val="00F6562E"/>
    <w:rsid w:val="00F810AA"/>
    <w:rsid w:val="00FB43EC"/>
    <w:rsid w:val="00FB6B40"/>
    <w:rsid w:val="00FF38B1"/>
    <w:rsid w:val="04566488"/>
    <w:rsid w:val="0ACA678C"/>
    <w:rsid w:val="1AD16643"/>
    <w:rsid w:val="1BC63B88"/>
    <w:rsid w:val="1C050D3B"/>
    <w:rsid w:val="1FEB23C8"/>
    <w:rsid w:val="295729FE"/>
    <w:rsid w:val="4CF855BC"/>
    <w:rsid w:val="57780BC3"/>
    <w:rsid w:val="58347437"/>
    <w:rsid w:val="58F66832"/>
    <w:rsid w:val="5EFC3886"/>
    <w:rsid w:val="657D6DD6"/>
    <w:rsid w:val="68216798"/>
    <w:rsid w:val="69120A9D"/>
    <w:rsid w:val="70EE7185"/>
    <w:rsid w:val="7596169C"/>
    <w:rsid w:val="7B3B1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A567D"/>
  <w15:docId w15:val="{F4AF27AE-3C06-430F-8E11-DA07A613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liuyu</cp:lastModifiedBy>
  <cp:revision>5</cp:revision>
  <cp:lastPrinted>2020-06-19T07:37:00Z</cp:lastPrinted>
  <dcterms:created xsi:type="dcterms:W3CDTF">2022-04-11T03:53:00Z</dcterms:created>
  <dcterms:modified xsi:type="dcterms:W3CDTF">2022-04-11T08:53:00Z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