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/>
          <w:b/>
          <w:bCs/>
          <w:sz w:val="28"/>
          <w:szCs w:val="28"/>
          <w:lang w:eastAsia="zh-CN"/>
        </w:rPr>
        <w:t>经营者集中简易案件公示表</w:t>
      </w:r>
    </w:p>
    <w:tbl>
      <w:tblPr>
        <w:tblStyle w:val="4"/>
        <w:tblW w:w="8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446"/>
        <w:gridCol w:w="49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2518" w:type="dxa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宝武碳业科技股份有限公司与内蒙古包钢钢联股份有限公司新设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eastAsia="zh-CN"/>
              </w:rPr>
              <w:t>合营企业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宝武碳业科技股份有限公司（“</w:t>
            </w: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zh-CN"/>
              </w:rPr>
              <w:t>宝武碳业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”）与内蒙古包钢钢联股份有限公司（“</w:t>
            </w: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zh-CN"/>
              </w:rPr>
              <w:t>包钢股份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”）签订合资合同和公司章程，双方拟以</w:t>
            </w:r>
            <w:r>
              <w:rPr>
                <w:rFonts w:hint="eastAsia" w:ascii="Times New Roman" w:hAnsi="Times New Roman"/>
                <w:iCs/>
                <w:sz w:val="24"/>
                <w:szCs w:val="24"/>
                <w:lang w:eastAsia="zh-CN"/>
              </w:rPr>
              <w:t>5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1</w:t>
            </w:r>
            <w:r>
              <w:rPr>
                <w:rFonts w:hint="eastAsia" w:ascii="Times New Roman" w:hAnsi="Times New Roman"/>
                <w:iCs/>
                <w:sz w:val="24"/>
                <w:szCs w:val="24"/>
                <w:lang w:eastAsia="zh-CN"/>
              </w:rPr>
              <w:t>%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与</w:t>
            </w:r>
            <w:r>
              <w:rPr>
                <w:rFonts w:hint="eastAsia" w:ascii="Times New Roman" w:hAnsi="Times New Roman"/>
                <w:iCs/>
                <w:sz w:val="24"/>
                <w:szCs w:val="24"/>
                <w:lang w:eastAsia="zh-CN"/>
              </w:rPr>
              <w:t>4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9</w:t>
            </w:r>
            <w:r>
              <w:rPr>
                <w:rFonts w:hint="eastAsia" w:ascii="Times New Roman" w:hAnsi="Times New Roman"/>
                <w:iCs/>
                <w:sz w:val="24"/>
                <w:szCs w:val="24"/>
                <w:lang w:eastAsia="zh-CN"/>
              </w:rPr>
              <w:t>%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的股权比例共同出资设立包头宝楷炭材料有限公司（“</w:t>
            </w: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zh-CN"/>
              </w:rPr>
              <w:t>合资公司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”）（“</w:t>
            </w:r>
            <w:r>
              <w:rPr>
                <w:rFonts w:ascii="Times New Roman" w:hAnsi="Times New Roman"/>
                <w:b/>
                <w:bCs/>
                <w:iCs/>
                <w:sz w:val="24"/>
                <w:szCs w:val="24"/>
                <w:lang w:eastAsia="zh-CN"/>
              </w:rPr>
              <w:t>拟议交易</w:t>
            </w:r>
            <w:r>
              <w:rPr>
                <w:rFonts w:ascii="Times New Roman" w:hAnsi="Times New Roman"/>
                <w:iCs/>
                <w:sz w:val="24"/>
                <w:szCs w:val="24"/>
                <w:lang w:eastAsia="zh-CN"/>
              </w:rPr>
              <w:t>”）。拟议交易完成后，宝武碳业与包钢股份将共同控制合资公司。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518" w:type="dxa"/>
            <w:vMerge w:val="restart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参与集中的经营者简介</w:t>
            </w: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1.宝武碳业</w:t>
            </w:r>
          </w:p>
        </w:tc>
        <w:tc>
          <w:tcPr>
            <w:tcW w:w="4933" w:type="dxa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宝武碳业成立于1997年，位于上海市宝山区。宝武碳业主要从事焦油精制产品、苯类精制产品与碳基新材料的研发、生产和销售，以及焦炉煤气净化服务。</w:t>
            </w:r>
          </w:p>
          <w:p>
            <w:pPr>
              <w:tabs>
                <w:tab w:val="clear" w:pos="709"/>
                <w:tab w:val="clear" w:pos="1418"/>
                <w:tab w:val="clear" w:pos="2835"/>
                <w:tab w:val="clear" w:pos="4253"/>
              </w:tabs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宝武碳业的最终控制人为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中国宝武钢铁集团有限公司（“宝武集团”）。宝武集团主要从事钢铁制造业、新材料产业、智慧服务业、资源环境业与产业园区业。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518" w:type="dxa"/>
            <w:vMerge w:val="continue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  <w:t>2.包钢股份</w:t>
            </w:r>
          </w:p>
        </w:tc>
        <w:tc>
          <w:tcPr>
            <w:tcW w:w="4933" w:type="dxa"/>
            <w:shd w:val="clear" w:color="auto" w:fill="auto"/>
            <w:vAlign w:val="center"/>
          </w:tcPr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包钢股份成立于1999年，位于内蒙古包头市。包钢股份公司主要从事矿产资源开发利用、钢铁产品的生产与销售。</w:t>
            </w:r>
          </w:p>
          <w:p>
            <w:pPr>
              <w:snapToGrid w:val="0"/>
              <w:spacing w:after="156" w:afterLines="5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包钢股份的最终控制人为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包头钢铁(集团)有限责任公司（“包钢集团”）。包钢集团主要从事矿山开采、钢铁冶炼轧制、稀土科研和销售以及与之相关的化工、发电等配套业务。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6379" w:type="dxa"/>
            <w:gridSpan w:val="2"/>
            <w:shd w:val="clear" w:color="auto" w:fill="auto"/>
          </w:tcPr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1、在同一相关市场，所有参与集中的经营者所占市场份额之和小于15%。</w:t>
            </w:r>
          </w:p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2、存在上下游关系的参与集中的经营者，在上下游市场所占的市场份额均小于25%。</w:t>
            </w:r>
          </w:p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3、不在同一相关市场、也不存在上下游关系的参与集中的经营者，在与交易有关的每个市场所占的份额均小于25%。</w:t>
            </w:r>
          </w:p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4、参与集中的经营者在中国境外设立合营企业，合营企业不在中国境内从事经济活动。</w:t>
            </w:r>
          </w:p>
          <w:p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5、参与集中的经营者收购境外企业股权或资产的，该境外企业不在中国境内从事经济活动。</w:t>
            </w:r>
          </w:p>
          <w:p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518" w:type="dxa"/>
            <w:shd w:val="clear" w:color="auto" w:fill="E7E6E6" w:themeFill="background2"/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zh-CN"/>
              </w:rPr>
              <w:t>横向重叠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  <w:lang w:eastAsia="zh-CN"/>
              </w:rPr>
              <w:t>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59"/>
              <w:gridCol w:w="1701"/>
              <w:gridCol w:w="269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相关商品市场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相关地域市场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2021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煤焦油市场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煤沥青市场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轻油市场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-1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酚油市场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-1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洗油市场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各方合计：5-10%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蒽油市场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-1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工业萘市场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：5-10%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包钢股份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：0-5%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合营企业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（预估）：0-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各方合计：5-10%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  <w:lang w:val="en-US" w:eastAsia="zh-CN"/>
              </w:rPr>
              <w:t>纵向关联：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59"/>
              <w:gridCol w:w="1701"/>
              <w:gridCol w:w="269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相关商品市场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相关地域市场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2021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上游：煤焦油市场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煤沥青市场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轻油市场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酚油市场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工业萘市场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洗油市场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、蒽油市场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中国境内煤焦油市场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市场份额如上所述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中国境内煤沥青市场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轻油市场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酚油市场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工业萘市场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洗油市场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、蒽油市场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市场份额如上所述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炭黑市场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市场份额如上所述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中国境内炭黑市场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针状焦市场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：全球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市场份额如上所述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全球针状焦市场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宝武碳业：0-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境内</w:t>
                  </w:r>
                  <w:bookmarkStart w:id="0" w:name="_GoBack"/>
                  <w:bookmarkEnd w:id="0"/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针状焦市场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：5-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59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：超高功率石墨电极</w:t>
                  </w:r>
                </w:p>
              </w:tc>
              <w:tc>
                <w:tcPr>
                  <w:tcW w:w="1701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上游：中国境内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2693" w:type="dxa"/>
                </w:tcPr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中国境内煤沥青市场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市场份额如上所述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下游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超高功率石墨电极</w:t>
                  </w:r>
                </w:p>
                <w:p>
                  <w:pPr>
                    <w:adjustRightInd w:val="0"/>
                    <w:snapToGrid w:val="0"/>
                    <w:spacing w:line="340" w:lineRule="exact"/>
                    <w:jc w:val="both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宝武碳业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%</w:t>
                  </w:r>
                </w:p>
              </w:tc>
            </w:tr>
          </w:tbl>
          <w:p>
            <w:pPr>
              <w:adjustRightInd w:val="0"/>
              <w:snapToGri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>
      <w:pPr>
        <w:rPr>
          <w:lang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5835750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C0"/>
    <w:rsid w:val="00071C3A"/>
    <w:rsid w:val="000D0B46"/>
    <w:rsid w:val="00103F70"/>
    <w:rsid w:val="00206FAB"/>
    <w:rsid w:val="002E192C"/>
    <w:rsid w:val="003E41A2"/>
    <w:rsid w:val="004B516C"/>
    <w:rsid w:val="0062444A"/>
    <w:rsid w:val="006F18F1"/>
    <w:rsid w:val="00732BC0"/>
    <w:rsid w:val="00742777"/>
    <w:rsid w:val="00860437"/>
    <w:rsid w:val="008C2136"/>
    <w:rsid w:val="00901595"/>
    <w:rsid w:val="009212F1"/>
    <w:rsid w:val="00A54153"/>
    <w:rsid w:val="00B16BEE"/>
    <w:rsid w:val="00B34912"/>
    <w:rsid w:val="00B87665"/>
    <w:rsid w:val="00B91A48"/>
    <w:rsid w:val="00BD0FC3"/>
    <w:rsid w:val="00C90173"/>
    <w:rsid w:val="00E234C7"/>
    <w:rsid w:val="00E35AE0"/>
    <w:rsid w:val="00E57F86"/>
    <w:rsid w:val="00E61993"/>
    <w:rsid w:val="00E73E25"/>
    <w:rsid w:val="00E75510"/>
    <w:rsid w:val="00EE4C40"/>
    <w:rsid w:val="1FB54186"/>
    <w:rsid w:val="36A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hAnsi="Arial" w:eastAsia="宋体" w:cs="Times New Roman"/>
      <w:kern w:val="16"/>
      <w:sz w:val="20"/>
      <w:szCs w:val="20"/>
      <w:lang w:val="en-GB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widowControl w:val="0"/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after="0" w:line="240" w:lineRule="auto"/>
    </w:pPr>
    <w:rPr>
      <w:rFonts w:asciiTheme="minorHAnsi" w:hAnsiTheme="minorHAnsi" w:eastAsiaTheme="minorEastAsia" w:cstheme="minorBidi"/>
      <w:kern w:val="2"/>
      <w:sz w:val="18"/>
      <w:szCs w:val="18"/>
      <w:lang w:val="en-US" w:eastAsia="zh-CN"/>
    </w:rPr>
  </w:style>
  <w:style w:type="paragraph" w:styleId="3">
    <w:name w:val="header"/>
    <w:basedOn w:val="1"/>
    <w:link w:val="7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</w:tabs>
      <w:snapToGrid w:val="0"/>
      <w:spacing w:after="0" w:line="240" w:lineRule="auto"/>
      <w:jc w:val="center"/>
    </w:pPr>
    <w:rPr>
      <w:rFonts w:asciiTheme="minorHAnsi" w:hAnsiTheme="minorHAnsi" w:eastAsiaTheme="minorEastAsia" w:cstheme="minorBidi"/>
      <w:kern w:val="2"/>
      <w:sz w:val="18"/>
      <w:szCs w:val="18"/>
      <w:lang w:val="en-US" w:eastAsia="zh-CN"/>
    </w:rPr>
  </w:style>
  <w:style w:type="table" w:styleId="5">
    <w:name w:val="Table Grid"/>
    <w:basedOn w:val="4"/>
    <w:qFormat/>
    <w:uiPriority w:val="0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246</Words>
  <Characters>1404</Characters>
  <Lines>11</Lines>
  <Paragraphs>3</Paragraphs>
  <TotalTime>0</TotalTime>
  <ScaleCrop>false</ScaleCrop>
  <LinksUpToDate>false</LinksUpToDate>
  <CharactersWithSpaces>1647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2022-04-15T07:32:00Z</dcterms:created>
  <dc:creator>ZhuJunchen</dc:creator>
  <cp:lastModifiedBy>杨钧翰</cp:lastModifiedBy>
  <cp:lastPrinted>2022-04-18T00:37:00Z</cp:lastPrinted>
  <dcterms:modified xsi:type="dcterms:W3CDTF">2022-04-19T06:09:47Z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