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rPr>
          <w:rFonts w:ascii="黑体" w:hAnsi="黑体" w:eastAsia="黑体" w:cs="黑体"/>
          <w:bCs/>
          <w:kern w:val="0"/>
          <w:sz w:val="36"/>
          <w:szCs w:val="36"/>
          <w:lang w:val="en-GB" w:bidi="ar-AE"/>
        </w:rPr>
      </w:pPr>
      <w:bookmarkStart w:id="0" w:name="_GoBack"/>
      <w:bookmarkEnd w:id="0"/>
      <w:r>
        <w:rPr>
          <w:rFonts w:hint="eastAsia" w:ascii="黑体" w:hAnsi="黑体" w:eastAsia="黑体" w:cs="黑体"/>
          <w:bCs/>
          <w:kern w:val="0"/>
          <w:sz w:val="36"/>
          <w:szCs w:val="36"/>
          <w:lang w:val="en-GB" w:bidi="ar-AE"/>
        </w:rPr>
        <w:t>经营者集中简易案件公示表</w:t>
      </w:r>
    </w:p>
    <w:tbl>
      <w:tblPr>
        <w:tblStyle w:val="7"/>
        <w:tblW w:w="964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1"/>
        <w:gridCol w:w="1608"/>
        <w:gridCol w:w="6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1" w:type="dxa"/>
            <w:tcBorders>
              <w:top w:val="single" w:color="auto" w:sz="4" w:space="0"/>
              <w:left w:val="single" w:color="auto" w:sz="4" w:space="0"/>
              <w:bottom w:val="single" w:color="auto" w:sz="4" w:space="0"/>
              <w:right w:val="single" w:color="auto" w:sz="4" w:space="0"/>
            </w:tcBorders>
            <w:shd w:val="clear" w:color="auto" w:fill="D9D9D9"/>
            <w:vAlign w:val="center"/>
          </w:tcPr>
          <w:p>
            <w:pPr>
              <w:adjustRightInd w:val="0"/>
              <w:snapToGrid w:val="0"/>
              <w:rPr>
                <w:rFonts w:ascii="宋体" w:hAnsi="宋体" w:cs="宋体"/>
                <w:bCs/>
                <w:color w:val="000000"/>
                <w:kern w:val="0"/>
                <w:sz w:val="24"/>
                <w:szCs w:val="24"/>
                <w:lang w:eastAsia="en-GB" w:bidi="ar-AE"/>
              </w:rPr>
            </w:pPr>
            <w:r>
              <w:rPr>
                <w:rFonts w:hint="eastAsia" w:ascii="宋体" w:hAnsi="宋体" w:cs="宋体"/>
                <w:bCs/>
                <w:color w:val="000000"/>
                <w:kern w:val="0"/>
                <w:sz w:val="24"/>
                <w:szCs w:val="24"/>
                <w:lang w:val="en-GB" w:eastAsia="en-GB" w:bidi="ar-AE"/>
              </w:rPr>
              <w:t>案件名称</w:t>
            </w:r>
          </w:p>
        </w:tc>
        <w:tc>
          <w:tcPr>
            <w:tcW w:w="770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bCs/>
                <w:color w:val="000000"/>
                <w:kern w:val="0"/>
                <w:sz w:val="24"/>
                <w:szCs w:val="24"/>
                <w:lang w:bidi="ar-AE"/>
              </w:rPr>
            </w:pPr>
            <w:r>
              <w:rPr>
                <w:rFonts w:hint="eastAsia" w:ascii="宋体" w:hAnsi="宋体" w:cs="宋体"/>
                <w:bCs/>
                <w:color w:val="000000"/>
                <w:kern w:val="0"/>
                <w:sz w:val="24"/>
                <w:szCs w:val="24"/>
                <w:lang w:bidi="ar-AE"/>
              </w:rPr>
              <w:t>宿迁京东卓风企业管理有限公司收购宁波梅山保税港区德邦投资控股股份有限公司</w:t>
            </w:r>
            <w:r>
              <w:rPr>
                <w:rFonts w:ascii="宋体" w:hAnsi="宋体" w:cs="宋体"/>
                <w:bCs/>
                <w:color w:val="000000"/>
                <w:kern w:val="0"/>
                <w:sz w:val="24"/>
                <w:szCs w:val="24"/>
                <w:lang w:bidi="ar-AE"/>
              </w:rPr>
              <w:t>等2家公司</w:t>
            </w:r>
            <w:r>
              <w:rPr>
                <w:rFonts w:hint="eastAsia" w:ascii="宋体" w:hAnsi="宋体" w:cs="宋体"/>
                <w:bCs/>
                <w:color w:val="000000"/>
                <w:kern w:val="0"/>
                <w:sz w:val="24"/>
                <w:szCs w:val="24"/>
                <w:lang w:bidi="ar-AE"/>
              </w:rPr>
              <w:t>股权案（“</w:t>
            </w:r>
            <w:r>
              <w:rPr>
                <w:rFonts w:hint="eastAsia" w:ascii="宋体" w:hAnsi="宋体" w:cs="宋体"/>
                <w:b/>
                <w:bCs/>
                <w:color w:val="000000"/>
                <w:kern w:val="0"/>
                <w:sz w:val="24"/>
                <w:szCs w:val="24"/>
                <w:lang w:bidi="ar-AE"/>
              </w:rPr>
              <w:t>本次交易</w:t>
            </w:r>
            <w:r>
              <w:rPr>
                <w:rFonts w:hint="eastAsia" w:ascii="宋体" w:hAnsi="宋体" w:cs="宋体"/>
                <w:bCs/>
                <w:color w:val="000000"/>
                <w:kern w:val="0"/>
                <w:sz w:val="24"/>
                <w:szCs w:val="24"/>
                <w:lang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1" w:type="dxa"/>
            <w:tcBorders>
              <w:top w:val="single" w:color="auto" w:sz="4" w:space="0"/>
              <w:left w:val="single" w:color="auto" w:sz="4" w:space="0"/>
              <w:bottom w:val="single" w:color="auto" w:sz="4" w:space="0"/>
              <w:right w:val="single" w:color="auto" w:sz="4" w:space="0"/>
            </w:tcBorders>
            <w:shd w:val="clear" w:color="auto" w:fill="D9D9D9"/>
            <w:vAlign w:val="center"/>
          </w:tcPr>
          <w:p>
            <w:pPr>
              <w:adjustRightInd w:val="0"/>
              <w:snapToGrid w:val="0"/>
              <w:rPr>
                <w:rFonts w:ascii="宋体" w:hAnsi="宋体" w:cs="宋体"/>
                <w:bCs/>
                <w:color w:val="000000"/>
                <w:kern w:val="0"/>
                <w:sz w:val="24"/>
                <w:szCs w:val="24"/>
                <w:lang w:bidi="ar-AE"/>
              </w:rPr>
            </w:pPr>
            <w:r>
              <w:rPr>
                <w:rFonts w:hint="eastAsia" w:ascii="宋体" w:hAnsi="宋体" w:cs="宋体"/>
                <w:bCs/>
                <w:color w:val="000000"/>
                <w:kern w:val="0"/>
                <w:sz w:val="24"/>
                <w:szCs w:val="24"/>
                <w:lang w:val="en-GB" w:bidi="ar-AE"/>
              </w:rPr>
              <w:t>交易概况（限200字内）</w:t>
            </w:r>
          </w:p>
        </w:tc>
        <w:tc>
          <w:tcPr>
            <w:tcW w:w="770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宿迁京东卓风企业管理有限公司（“</w:t>
            </w:r>
            <w:r>
              <w:rPr>
                <w:rFonts w:hint="eastAsia" w:ascii="宋体" w:hAnsi="宋体" w:cs="宋体"/>
                <w:b/>
                <w:bCs/>
                <w:kern w:val="0"/>
                <w:sz w:val="24"/>
                <w:szCs w:val="24"/>
                <w:lang w:bidi="ar-AE"/>
              </w:rPr>
              <w:t>京东卓风</w:t>
            </w:r>
            <w:r>
              <w:rPr>
                <w:rFonts w:hint="eastAsia" w:ascii="宋体" w:hAnsi="宋体" w:cs="宋体"/>
                <w:kern w:val="0"/>
                <w:sz w:val="24"/>
                <w:szCs w:val="24"/>
                <w:lang w:bidi="ar-AE"/>
              </w:rPr>
              <w:t>”）与宁波梅山保税港区德邦投资控股股份有限公司（“</w:t>
            </w:r>
            <w:r>
              <w:rPr>
                <w:rFonts w:hint="eastAsia" w:ascii="宋体" w:hAnsi="宋体" w:cs="宋体"/>
                <w:b/>
                <w:bCs/>
                <w:kern w:val="0"/>
                <w:sz w:val="24"/>
                <w:szCs w:val="24"/>
                <w:lang w:bidi="ar-AE"/>
              </w:rPr>
              <w:t>德邦控股</w:t>
            </w:r>
            <w:r>
              <w:rPr>
                <w:rFonts w:hint="eastAsia" w:ascii="宋体" w:hAnsi="宋体" w:cs="宋体"/>
                <w:kern w:val="0"/>
                <w:sz w:val="24"/>
                <w:szCs w:val="24"/>
                <w:lang w:bidi="ar-AE"/>
              </w:rPr>
              <w:t>”）、德邦控股创始人等签署协议，且德邦控股子公司，即德邦物流股份有限公司（“</w:t>
            </w:r>
            <w:r>
              <w:rPr>
                <w:rFonts w:hint="eastAsia" w:ascii="宋体" w:hAnsi="宋体" w:cs="宋体"/>
                <w:b/>
                <w:bCs/>
                <w:kern w:val="0"/>
                <w:sz w:val="24"/>
                <w:szCs w:val="24"/>
                <w:lang w:bidi="ar-AE"/>
              </w:rPr>
              <w:t>德邦股份</w:t>
            </w:r>
            <w:r>
              <w:rPr>
                <w:rFonts w:hint="eastAsia" w:ascii="宋体" w:hAnsi="宋体" w:cs="宋体"/>
                <w:kern w:val="0"/>
                <w:sz w:val="24"/>
                <w:szCs w:val="24"/>
                <w:lang w:bidi="ar-AE"/>
              </w:rPr>
              <w:t>”）向公众发布公告了《要约收购报告书摘要》。通过本次交易，一方面，京东卓风拟通过协议转让方式收购德邦控股9</w:t>
            </w:r>
            <w:r>
              <w:rPr>
                <w:rFonts w:ascii="宋体" w:hAnsi="宋体" w:cs="宋体"/>
                <w:kern w:val="0"/>
                <w:sz w:val="24"/>
                <w:szCs w:val="24"/>
                <w:lang w:bidi="ar-AE"/>
              </w:rPr>
              <w:t>9.9870</w:t>
            </w:r>
            <w:r>
              <w:rPr>
                <w:rFonts w:hint="eastAsia" w:ascii="宋体" w:hAnsi="宋体" w:cs="宋体"/>
                <w:kern w:val="0"/>
                <w:sz w:val="24"/>
                <w:szCs w:val="24"/>
                <w:lang w:bidi="ar-AE"/>
              </w:rPr>
              <w:t>%股份；另一方面，京东卓风将履行全面要约收购义务，即拟通过公开要约收购方式，收购德邦控股子公司，即德邦股份不超过2</w:t>
            </w:r>
            <w:r>
              <w:rPr>
                <w:rFonts w:ascii="宋体" w:hAnsi="宋体" w:cs="宋体"/>
                <w:kern w:val="0"/>
                <w:sz w:val="24"/>
                <w:szCs w:val="24"/>
                <w:lang w:bidi="ar-AE"/>
              </w:rPr>
              <w:t>6.98</w:t>
            </w:r>
            <w:r>
              <w:rPr>
                <w:rFonts w:hint="eastAsia" w:ascii="宋体" w:hAnsi="宋体" w:cs="宋体"/>
                <w:kern w:val="0"/>
                <w:sz w:val="24"/>
                <w:szCs w:val="24"/>
                <w:lang w:bidi="ar-AE"/>
              </w:rPr>
              <w:t>%股份。德邦控股和德邦股份主要在中国境内从事快递和快运物流业务。</w:t>
            </w:r>
          </w:p>
          <w:p>
            <w:pPr>
              <w:adjustRightInd w:val="0"/>
              <w:snapToGrid w:val="0"/>
              <w:rPr>
                <w:rFonts w:ascii="宋体" w:hAnsi="宋体" w:cs="宋体"/>
                <w:kern w:val="0"/>
                <w:sz w:val="24"/>
                <w:szCs w:val="24"/>
                <w:lang w:bidi="ar-AE"/>
              </w:rPr>
            </w:pPr>
          </w:p>
          <w:p>
            <w:pPr>
              <w:adjustRightInd w:val="0"/>
              <w:snapToGrid w:val="0"/>
              <w:rPr>
                <w:rFonts w:ascii="宋体" w:hAnsi="宋体" w:cs="宋体"/>
                <w:bCs/>
                <w:color w:val="000000"/>
                <w:kern w:val="0"/>
                <w:sz w:val="24"/>
                <w:szCs w:val="24"/>
                <w:lang w:val="en-GB" w:bidi="ar-AE"/>
              </w:rPr>
            </w:pPr>
            <w:r>
              <w:rPr>
                <w:rFonts w:hint="eastAsia" w:ascii="宋体" w:hAnsi="宋体" w:cs="宋体"/>
                <w:kern w:val="0"/>
                <w:sz w:val="24"/>
                <w:szCs w:val="24"/>
                <w:lang w:bidi="ar-AE"/>
              </w:rPr>
              <w:t>本次交易前，德邦控股创始人直接和间接合计持有德邦控股约</w:t>
            </w:r>
            <w:r>
              <w:rPr>
                <w:rFonts w:ascii="宋体" w:hAnsi="宋体" w:cs="宋体"/>
                <w:kern w:val="0"/>
                <w:sz w:val="24"/>
                <w:szCs w:val="24"/>
                <w:lang w:bidi="ar-AE"/>
              </w:rPr>
              <w:t>55.53%股份</w:t>
            </w:r>
            <w:r>
              <w:rPr>
                <w:rFonts w:hint="eastAsia" w:ascii="宋体" w:hAnsi="宋体" w:cs="宋体"/>
                <w:kern w:val="0"/>
                <w:sz w:val="24"/>
                <w:szCs w:val="24"/>
                <w:lang w:bidi="ar-AE"/>
              </w:rPr>
              <w:t>，通过德邦控股间接持有德邦股份约6</w:t>
            </w:r>
            <w:r>
              <w:rPr>
                <w:rFonts w:ascii="宋体" w:hAnsi="宋体" w:cs="宋体"/>
                <w:kern w:val="0"/>
                <w:sz w:val="24"/>
                <w:szCs w:val="24"/>
                <w:lang w:bidi="ar-AE"/>
              </w:rPr>
              <w:t>6.50</w:t>
            </w:r>
            <w:r>
              <w:rPr>
                <w:rFonts w:hint="eastAsia" w:ascii="宋体" w:hAnsi="宋体" w:cs="宋体"/>
                <w:kern w:val="0"/>
                <w:sz w:val="24"/>
                <w:szCs w:val="24"/>
                <w:lang w:bidi="ar-AE"/>
              </w:rPr>
              <w:t>%股份，并直接持有德邦股份4</w:t>
            </w:r>
            <w:r>
              <w:rPr>
                <w:rFonts w:ascii="宋体" w:hAnsi="宋体" w:cs="宋体"/>
                <w:kern w:val="0"/>
                <w:sz w:val="24"/>
                <w:szCs w:val="24"/>
                <w:lang w:bidi="ar-AE"/>
              </w:rPr>
              <w:t>.19</w:t>
            </w:r>
            <w:r>
              <w:rPr>
                <w:rFonts w:hint="eastAsia" w:ascii="宋体" w:hAnsi="宋体" w:cs="宋体"/>
                <w:kern w:val="0"/>
                <w:sz w:val="24"/>
                <w:szCs w:val="24"/>
                <w:lang w:bidi="ar-AE"/>
              </w:rPr>
              <w:t>%股份；德邦控股和德邦股份均由其创始人单独控制。本次交易后，京东卓风将合计持有德邦控股9</w:t>
            </w:r>
            <w:r>
              <w:rPr>
                <w:rFonts w:ascii="宋体" w:hAnsi="宋体" w:cs="宋体"/>
                <w:kern w:val="0"/>
                <w:sz w:val="24"/>
                <w:szCs w:val="24"/>
                <w:lang w:bidi="ar-AE"/>
              </w:rPr>
              <w:t>9.9870</w:t>
            </w:r>
            <w:r>
              <w:rPr>
                <w:rFonts w:hint="eastAsia" w:ascii="宋体" w:hAnsi="宋体" w:cs="宋体"/>
                <w:kern w:val="0"/>
                <w:sz w:val="24"/>
                <w:szCs w:val="24"/>
                <w:lang w:bidi="ar-AE"/>
              </w:rPr>
              <w:t>%股份；京东卓风将通过德邦控股间接持有德邦股份约6</w:t>
            </w:r>
            <w:r>
              <w:rPr>
                <w:rFonts w:ascii="宋体" w:hAnsi="宋体" w:cs="宋体"/>
                <w:kern w:val="0"/>
                <w:sz w:val="24"/>
                <w:szCs w:val="24"/>
                <w:lang w:bidi="ar-AE"/>
              </w:rPr>
              <w:t>6.50</w:t>
            </w:r>
            <w:r>
              <w:rPr>
                <w:rFonts w:hint="eastAsia" w:ascii="宋体" w:hAnsi="宋体" w:cs="宋体"/>
                <w:kern w:val="0"/>
                <w:sz w:val="24"/>
                <w:szCs w:val="24"/>
                <w:lang w:bidi="ar-AE"/>
              </w:rPr>
              <w:t>%股份，并直接持有德邦股份不超过2</w:t>
            </w:r>
            <w:r>
              <w:rPr>
                <w:rFonts w:ascii="宋体" w:hAnsi="宋体" w:cs="宋体"/>
                <w:kern w:val="0"/>
                <w:sz w:val="24"/>
                <w:szCs w:val="24"/>
                <w:lang w:bidi="ar-AE"/>
              </w:rPr>
              <w:t>6.98</w:t>
            </w:r>
            <w:r>
              <w:rPr>
                <w:rFonts w:hint="eastAsia" w:ascii="宋体" w:hAnsi="宋体" w:cs="宋体"/>
                <w:kern w:val="0"/>
                <w:sz w:val="24"/>
                <w:szCs w:val="24"/>
                <w:lang w:bidi="ar-AE"/>
              </w:rPr>
              <w:t>%股份；德邦控股和德邦股份将由京东卓风单独控制。</w:t>
            </w:r>
          </w:p>
          <w:p>
            <w:pPr>
              <w:adjustRightInd w:val="0"/>
              <w:snapToGrid w:val="0"/>
              <w:rPr>
                <w:rFonts w:ascii="宋体" w:hAnsi="宋体" w:cs="宋体"/>
                <w:bCs/>
                <w:color w:val="000000"/>
                <w:kern w:val="0"/>
                <w:sz w:val="24"/>
                <w:szCs w:val="24"/>
                <w:lang w:val="en-GB" w:bidi="ar-A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1" w:type="dxa"/>
            <w:vMerge w:val="restart"/>
            <w:tcBorders>
              <w:top w:val="single" w:color="auto" w:sz="4" w:space="0"/>
              <w:left w:val="single" w:color="auto" w:sz="4" w:space="0"/>
              <w:right w:val="single" w:color="auto" w:sz="4" w:space="0"/>
            </w:tcBorders>
            <w:shd w:val="clear" w:color="auto" w:fill="D9D9D9"/>
            <w:vAlign w:val="center"/>
          </w:tcPr>
          <w:p>
            <w:pPr>
              <w:adjustRightInd w:val="0"/>
              <w:snapToGrid w:val="0"/>
              <w:rPr>
                <w:rFonts w:ascii="宋体" w:hAnsi="宋体" w:cs="宋体"/>
                <w:bCs/>
                <w:color w:val="000000"/>
                <w:kern w:val="0"/>
                <w:sz w:val="24"/>
                <w:szCs w:val="24"/>
                <w:lang w:bidi="ar-AE"/>
              </w:rPr>
            </w:pPr>
            <w:r>
              <w:rPr>
                <w:rFonts w:hint="eastAsia" w:ascii="宋体" w:hAnsi="宋体" w:cs="宋体"/>
                <w:bCs/>
                <w:color w:val="000000"/>
                <w:kern w:val="0"/>
                <w:sz w:val="24"/>
                <w:szCs w:val="24"/>
                <w:lang w:val="en-GB" w:bidi="ar-AE"/>
              </w:rPr>
              <w:t>参与集中的经营者简介（每个限</w:t>
            </w:r>
            <w:r>
              <w:rPr>
                <w:rFonts w:hint="eastAsia" w:ascii="宋体" w:hAnsi="宋体" w:cs="宋体"/>
                <w:bCs/>
                <w:color w:val="000000"/>
                <w:kern w:val="0"/>
                <w:sz w:val="24"/>
                <w:szCs w:val="24"/>
                <w:lang w:bidi="ar-AE"/>
              </w:rPr>
              <w:t>100字以内</w:t>
            </w:r>
            <w:r>
              <w:rPr>
                <w:rFonts w:hint="eastAsia" w:ascii="宋体" w:hAnsi="宋体" w:cs="宋体"/>
                <w:bCs/>
                <w:color w:val="000000"/>
                <w:kern w:val="0"/>
                <w:sz w:val="24"/>
                <w:szCs w:val="24"/>
                <w:lang w:val="en-GB" w:bidi="ar-AE"/>
              </w:rPr>
              <w:t>）</w:t>
            </w:r>
          </w:p>
        </w:tc>
        <w:tc>
          <w:tcPr>
            <w:tcW w:w="160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1. 京东卓风</w:t>
            </w:r>
          </w:p>
        </w:tc>
        <w:tc>
          <w:tcPr>
            <w:tcW w:w="609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京东卓风于</w:t>
            </w:r>
            <w:r>
              <w:rPr>
                <w:rFonts w:ascii="宋体" w:hAnsi="宋体" w:cs="宋体"/>
                <w:kern w:val="0"/>
                <w:sz w:val="24"/>
                <w:szCs w:val="24"/>
                <w:lang w:bidi="ar-AE"/>
              </w:rPr>
              <w:t>2020年11月2日</w:t>
            </w:r>
            <w:r>
              <w:rPr>
                <w:rFonts w:hint="eastAsia" w:ascii="宋体" w:hAnsi="宋体" w:cs="宋体"/>
                <w:kern w:val="0"/>
                <w:sz w:val="24"/>
                <w:szCs w:val="24"/>
                <w:lang w:bidi="ar-AE"/>
              </w:rPr>
              <w:t>成立于中国江苏省，主要在中国境内投资和持有物流项目和业务。</w:t>
            </w:r>
          </w:p>
          <w:p>
            <w:pPr>
              <w:adjustRightInd w:val="0"/>
              <w:snapToGrid w:val="0"/>
              <w:rPr>
                <w:rFonts w:ascii="宋体" w:hAnsi="宋体" w:cs="宋体"/>
                <w:kern w:val="0"/>
                <w:sz w:val="24"/>
                <w:szCs w:val="24"/>
                <w:lang w:bidi="ar-AE"/>
              </w:rPr>
            </w:pPr>
          </w:p>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京东卓风最终控制人为京东集团股份有限公司（“</w:t>
            </w:r>
            <w:r>
              <w:rPr>
                <w:rFonts w:hint="eastAsia" w:ascii="宋体" w:hAnsi="宋体" w:cs="宋体"/>
                <w:b/>
                <w:bCs/>
                <w:kern w:val="0"/>
                <w:sz w:val="24"/>
                <w:szCs w:val="24"/>
                <w:lang w:bidi="ar-AE"/>
              </w:rPr>
              <w:t>京东集团</w:t>
            </w:r>
            <w:r>
              <w:rPr>
                <w:rFonts w:hint="eastAsia" w:ascii="宋体" w:hAnsi="宋体" w:cs="宋体"/>
                <w:kern w:val="0"/>
                <w:sz w:val="24"/>
                <w:szCs w:val="24"/>
                <w:lang w:bidi="ar-AE"/>
              </w:rPr>
              <w:t>”），提供以供应链为基础的技术与服务，目前业务涉及零售、物流、健康等多个领域。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1" w:type="dxa"/>
            <w:vMerge w:val="continue"/>
            <w:tcBorders>
              <w:left w:val="single" w:color="auto" w:sz="4" w:space="0"/>
              <w:right w:val="single" w:color="auto" w:sz="4" w:space="0"/>
            </w:tcBorders>
            <w:vAlign w:val="center"/>
          </w:tcPr>
          <w:p>
            <w:pPr>
              <w:rPr>
                <w:rFonts w:ascii="宋体" w:hAnsi="宋体" w:cs="宋体"/>
                <w:bCs/>
                <w:color w:val="000000"/>
                <w:kern w:val="0"/>
                <w:sz w:val="24"/>
                <w:szCs w:val="24"/>
                <w:lang w:bidi="ar-AE"/>
              </w:rPr>
            </w:pPr>
          </w:p>
        </w:tc>
        <w:tc>
          <w:tcPr>
            <w:tcW w:w="160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2. 德邦控股</w:t>
            </w:r>
          </w:p>
        </w:tc>
        <w:tc>
          <w:tcPr>
            <w:tcW w:w="609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德邦控股于</w:t>
            </w:r>
            <w:r>
              <w:rPr>
                <w:rFonts w:ascii="宋体" w:hAnsi="宋体" w:cs="宋体"/>
                <w:kern w:val="0"/>
                <w:sz w:val="24"/>
                <w:szCs w:val="24"/>
                <w:lang w:bidi="ar-AE"/>
              </w:rPr>
              <w:t>2009年6月12日</w:t>
            </w:r>
            <w:r>
              <w:rPr>
                <w:rFonts w:hint="eastAsia" w:ascii="宋体" w:hAnsi="宋体" w:cs="宋体"/>
                <w:kern w:val="0"/>
                <w:sz w:val="24"/>
                <w:szCs w:val="24"/>
                <w:lang w:bidi="ar-AE"/>
              </w:rPr>
              <w:t>成立于中国浙江省，主要在中国境内从事实业投资、投资管理、投资咨询业务，并且主要通过其控制的德邦股份从事中国境内的快递和快运物流业务。</w:t>
            </w:r>
          </w:p>
          <w:p>
            <w:pPr>
              <w:adjustRightInd w:val="0"/>
              <w:snapToGrid w:val="0"/>
              <w:rPr>
                <w:rFonts w:ascii="宋体" w:hAnsi="宋体" w:cs="宋体"/>
                <w:kern w:val="0"/>
                <w:sz w:val="24"/>
                <w:szCs w:val="24"/>
                <w:lang w:bidi="ar-AE"/>
              </w:rPr>
            </w:pPr>
          </w:p>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德邦控股最终控制人为自然人，在中国境内主要通过德邦控股和德邦股份开展业务。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1" w:type="dxa"/>
            <w:vMerge w:val="continue"/>
            <w:tcBorders>
              <w:left w:val="single" w:color="auto" w:sz="4" w:space="0"/>
              <w:bottom w:val="single" w:color="auto" w:sz="4" w:space="0"/>
              <w:right w:val="single" w:color="auto" w:sz="4" w:space="0"/>
            </w:tcBorders>
            <w:vAlign w:val="center"/>
          </w:tcPr>
          <w:p>
            <w:pPr>
              <w:rPr>
                <w:rFonts w:ascii="宋体" w:hAnsi="宋体" w:cs="宋体"/>
                <w:bCs/>
                <w:color w:val="000000"/>
                <w:kern w:val="0"/>
                <w:sz w:val="24"/>
                <w:szCs w:val="24"/>
                <w:lang w:bidi="ar-AE"/>
              </w:rPr>
            </w:pPr>
          </w:p>
        </w:tc>
        <w:tc>
          <w:tcPr>
            <w:tcW w:w="160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kern w:val="0"/>
                <w:sz w:val="24"/>
                <w:szCs w:val="24"/>
                <w:lang w:bidi="ar-AE"/>
              </w:rPr>
            </w:pPr>
            <w:r>
              <w:rPr>
                <w:rFonts w:ascii="宋体" w:hAnsi="宋体" w:cs="宋体"/>
                <w:kern w:val="0"/>
                <w:sz w:val="24"/>
                <w:szCs w:val="24"/>
                <w:lang w:bidi="ar-AE"/>
              </w:rPr>
              <w:t>3</w:t>
            </w:r>
            <w:r>
              <w:rPr>
                <w:rFonts w:hint="eastAsia" w:ascii="宋体" w:hAnsi="宋体" w:cs="宋体"/>
                <w:kern w:val="0"/>
                <w:sz w:val="24"/>
                <w:szCs w:val="24"/>
                <w:lang w:bidi="ar-AE"/>
              </w:rPr>
              <w:t>. 德邦股份</w:t>
            </w:r>
          </w:p>
        </w:tc>
        <w:tc>
          <w:tcPr>
            <w:tcW w:w="609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德邦股份于2009年8月6日成立于中国上海市，为上海证券交易所上市公司，主要在中国境内从事快递和快运物流业务。</w:t>
            </w:r>
          </w:p>
          <w:p>
            <w:pPr>
              <w:adjustRightInd w:val="0"/>
              <w:snapToGrid w:val="0"/>
              <w:rPr>
                <w:rFonts w:ascii="宋体" w:hAnsi="宋体" w:cs="宋体"/>
                <w:kern w:val="0"/>
                <w:sz w:val="24"/>
                <w:szCs w:val="24"/>
                <w:lang w:bidi="ar-AE"/>
              </w:rPr>
            </w:pPr>
          </w:p>
          <w:p>
            <w:pPr>
              <w:adjustRightInd w:val="0"/>
              <w:snapToGrid w:val="0"/>
              <w:rPr>
                <w:rFonts w:ascii="宋体" w:hAnsi="宋体" w:cs="宋体"/>
                <w:kern w:val="0"/>
                <w:sz w:val="24"/>
                <w:szCs w:val="24"/>
                <w:lang w:bidi="ar-AE"/>
              </w:rPr>
            </w:pPr>
            <w:r>
              <w:rPr>
                <w:rFonts w:hint="eastAsia" w:ascii="宋体" w:hAnsi="宋体" w:cs="宋体"/>
                <w:kern w:val="0"/>
                <w:sz w:val="24"/>
                <w:szCs w:val="24"/>
                <w:lang w:bidi="ar-AE"/>
              </w:rPr>
              <w:t>德邦物流最终控制人为自然人，在中国境内主要通过德邦控股和德邦股份开展业务。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1" w:type="dxa"/>
            <w:vMerge w:val="restart"/>
            <w:tcBorders>
              <w:top w:val="single" w:color="auto" w:sz="4" w:space="0"/>
              <w:left w:val="single" w:color="auto" w:sz="4" w:space="0"/>
              <w:bottom w:val="single" w:color="auto" w:sz="4" w:space="0"/>
              <w:right w:val="single" w:color="auto" w:sz="4" w:space="0"/>
            </w:tcBorders>
            <w:shd w:val="clear" w:color="auto" w:fill="D9D9D9"/>
            <w:vAlign w:val="center"/>
          </w:tcPr>
          <w:p>
            <w:pPr>
              <w:adjustRightInd w:val="0"/>
              <w:snapToGrid w:val="0"/>
              <w:rPr>
                <w:rFonts w:ascii="宋体" w:hAnsi="宋体" w:cs="宋体"/>
                <w:bCs/>
                <w:color w:val="000000"/>
                <w:kern w:val="0"/>
                <w:sz w:val="24"/>
                <w:szCs w:val="24"/>
                <w:lang w:bidi="ar-AE"/>
              </w:rPr>
            </w:pPr>
            <w:r>
              <w:rPr>
                <w:rFonts w:hint="eastAsia" w:ascii="宋体" w:hAnsi="宋体" w:cs="宋体"/>
                <w:bCs/>
                <w:color w:val="000000"/>
                <w:kern w:val="0"/>
                <w:sz w:val="24"/>
                <w:szCs w:val="24"/>
                <w:lang w:val="en-GB" w:bidi="ar-AE"/>
              </w:rPr>
              <w:t>简易案件理由（可以单选，也可以多选）</w:t>
            </w:r>
          </w:p>
        </w:tc>
        <w:tc>
          <w:tcPr>
            <w:tcW w:w="770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bCs/>
                <w:color w:val="000000"/>
                <w:kern w:val="0"/>
                <w:sz w:val="24"/>
                <w:szCs w:val="24"/>
                <w:lang w:bidi="ar-AE"/>
              </w:rPr>
            </w:pPr>
            <w:r>
              <w:rPr>
                <w:rFonts w:ascii="宋体" w:hAnsi="宋体" w:cs="宋体"/>
                <w:bCs/>
                <w:color w:val="000000"/>
                <w:kern w:val="0"/>
                <w:sz w:val="24"/>
                <w:szCs w:val="24"/>
                <w:lang w:val="en-GB" w:bidi="ar-AE"/>
              </w:rPr>
              <w:sym w:font="Wingdings" w:char="F0FE"/>
            </w:r>
            <w:r>
              <w:rPr>
                <w:rFonts w:hint="eastAsia" w:ascii="宋体" w:hAnsi="宋体" w:cs="宋体"/>
                <w:bCs/>
                <w:color w:val="000000"/>
                <w:kern w:val="0"/>
                <w:sz w:val="24"/>
                <w:szCs w:val="24"/>
                <w:lang w:val="en-GB" w:bidi="ar-AE"/>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1" w:type="dxa"/>
            <w:vMerge w:val="continue"/>
            <w:tcBorders>
              <w:top w:val="single" w:color="auto" w:sz="4" w:space="0"/>
              <w:left w:val="single" w:color="auto" w:sz="4" w:space="0"/>
              <w:bottom w:val="single" w:color="auto" w:sz="4" w:space="0"/>
              <w:right w:val="single" w:color="auto" w:sz="4" w:space="0"/>
            </w:tcBorders>
            <w:vAlign w:val="center"/>
          </w:tcPr>
          <w:p>
            <w:pPr>
              <w:rPr>
                <w:rFonts w:ascii="宋体" w:hAnsi="宋体" w:cs="宋体"/>
                <w:bCs/>
                <w:color w:val="000000"/>
                <w:kern w:val="0"/>
                <w:sz w:val="24"/>
                <w:szCs w:val="24"/>
                <w:lang w:bidi="ar-AE"/>
              </w:rPr>
            </w:pPr>
          </w:p>
        </w:tc>
        <w:tc>
          <w:tcPr>
            <w:tcW w:w="770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bCs/>
                <w:color w:val="000000"/>
                <w:kern w:val="0"/>
                <w:sz w:val="24"/>
                <w:szCs w:val="24"/>
                <w:lang w:bidi="ar-AE"/>
              </w:rPr>
            </w:pPr>
            <w:r>
              <w:rPr>
                <w:rFonts w:ascii="宋体" w:hAnsi="宋体" w:cs="宋体"/>
                <w:bCs/>
                <w:color w:val="000000"/>
                <w:kern w:val="0"/>
                <w:sz w:val="24"/>
                <w:szCs w:val="24"/>
                <w:lang w:val="en-GB" w:bidi="ar-AE"/>
              </w:rPr>
              <w:sym w:font="Wingdings" w:char="F0FE"/>
            </w:r>
            <w:r>
              <w:rPr>
                <w:rFonts w:hint="eastAsia" w:ascii="宋体" w:hAnsi="宋体" w:cs="宋体"/>
                <w:bCs/>
                <w:color w:val="000000"/>
                <w:kern w:val="0"/>
                <w:sz w:val="24"/>
                <w:szCs w:val="24"/>
                <w:lang w:val="en-GB" w:bidi="ar-AE"/>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1" w:type="dxa"/>
            <w:vMerge w:val="continue"/>
            <w:tcBorders>
              <w:top w:val="single" w:color="auto" w:sz="4" w:space="0"/>
              <w:left w:val="single" w:color="auto" w:sz="4" w:space="0"/>
              <w:bottom w:val="single" w:color="auto" w:sz="4" w:space="0"/>
              <w:right w:val="single" w:color="auto" w:sz="4" w:space="0"/>
            </w:tcBorders>
            <w:vAlign w:val="center"/>
          </w:tcPr>
          <w:p>
            <w:pPr>
              <w:rPr>
                <w:rFonts w:ascii="宋体" w:hAnsi="宋体" w:cs="宋体"/>
                <w:bCs/>
                <w:color w:val="000000"/>
                <w:kern w:val="0"/>
                <w:sz w:val="24"/>
                <w:szCs w:val="24"/>
                <w:lang w:bidi="ar-AE"/>
              </w:rPr>
            </w:pPr>
          </w:p>
        </w:tc>
        <w:tc>
          <w:tcPr>
            <w:tcW w:w="770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bCs/>
                <w:color w:val="000000"/>
                <w:kern w:val="0"/>
                <w:sz w:val="24"/>
                <w:szCs w:val="24"/>
                <w:lang w:bidi="ar-AE"/>
              </w:rPr>
            </w:pPr>
            <w:r>
              <w:rPr>
                <w:rFonts w:ascii="宋体" w:hAnsi="宋体" w:cs="宋体"/>
                <w:bCs/>
                <w:color w:val="000000"/>
                <w:kern w:val="0"/>
                <w:sz w:val="24"/>
                <w:szCs w:val="24"/>
                <w:lang w:val="en-GB" w:bidi="ar-AE"/>
              </w:rPr>
              <w:sym w:font="Wingdings" w:char="F0A8"/>
            </w:r>
            <w:r>
              <w:rPr>
                <w:rFonts w:hint="eastAsia" w:ascii="宋体" w:hAnsi="宋体" w:cs="宋体"/>
                <w:bCs/>
                <w:color w:val="000000"/>
                <w:kern w:val="0"/>
                <w:sz w:val="24"/>
                <w:szCs w:val="24"/>
                <w:lang w:val="en-GB" w:bidi="ar-AE"/>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1" w:type="dxa"/>
            <w:vMerge w:val="continue"/>
            <w:tcBorders>
              <w:top w:val="single" w:color="auto" w:sz="4" w:space="0"/>
              <w:left w:val="single" w:color="auto" w:sz="4" w:space="0"/>
              <w:bottom w:val="single" w:color="auto" w:sz="4" w:space="0"/>
              <w:right w:val="single" w:color="auto" w:sz="4" w:space="0"/>
            </w:tcBorders>
            <w:vAlign w:val="center"/>
          </w:tcPr>
          <w:p>
            <w:pPr>
              <w:rPr>
                <w:rFonts w:ascii="宋体" w:hAnsi="宋体" w:cs="宋体"/>
                <w:bCs/>
                <w:color w:val="000000"/>
                <w:kern w:val="0"/>
                <w:sz w:val="24"/>
                <w:szCs w:val="24"/>
                <w:lang w:bidi="ar-AE"/>
              </w:rPr>
            </w:pPr>
          </w:p>
        </w:tc>
        <w:tc>
          <w:tcPr>
            <w:tcW w:w="770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bCs/>
                <w:color w:val="000000"/>
                <w:kern w:val="0"/>
                <w:sz w:val="24"/>
                <w:szCs w:val="24"/>
                <w:lang w:bidi="ar-AE"/>
              </w:rPr>
            </w:pPr>
            <w:r>
              <w:rPr>
                <w:rFonts w:ascii="宋体" w:hAnsi="宋体" w:cs="宋体"/>
                <w:bCs/>
                <w:color w:val="000000"/>
                <w:kern w:val="0"/>
                <w:sz w:val="24"/>
                <w:szCs w:val="24"/>
                <w:lang w:val="en-GB" w:bidi="ar-AE"/>
              </w:rPr>
              <w:sym w:font="Wingdings" w:char="F0A8"/>
            </w:r>
            <w:r>
              <w:rPr>
                <w:rFonts w:hint="eastAsia" w:ascii="宋体" w:hAnsi="宋体" w:cs="宋体"/>
                <w:bCs/>
                <w:color w:val="000000"/>
                <w:kern w:val="0"/>
                <w:sz w:val="24"/>
                <w:szCs w:val="24"/>
                <w:lang w:val="en-GB" w:bidi="ar-AE"/>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1" w:type="dxa"/>
            <w:vMerge w:val="continue"/>
            <w:tcBorders>
              <w:top w:val="single" w:color="auto" w:sz="4" w:space="0"/>
              <w:left w:val="single" w:color="auto" w:sz="4" w:space="0"/>
              <w:bottom w:val="single" w:color="auto" w:sz="4" w:space="0"/>
              <w:right w:val="single" w:color="auto" w:sz="4" w:space="0"/>
            </w:tcBorders>
            <w:vAlign w:val="center"/>
          </w:tcPr>
          <w:p>
            <w:pPr>
              <w:rPr>
                <w:rFonts w:ascii="宋体" w:hAnsi="宋体" w:cs="宋体"/>
                <w:bCs/>
                <w:color w:val="000000"/>
                <w:kern w:val="0"/>
                <w:sz w:val="24"/>
                <w:szCs w:val="24"/>
                <w:lang w:bidi="ar-AE"/>
              </w:rPr>
            </w:pPr>
          </w:p>
        </w:tc>
        <w:tc>
          <w:tcPr>
            <w:tcW w:w="770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bCs/>
                <w:color w:val="000000"/>
                <w:kern w:val="0"/>
                <w:sz w:val="24"/>
                <w:szCs w:val="24"/>
                <w:lang w:bidi="ar-AE"/>
              </w:rPr>
            </w:pPr>
            <w:r>
              <w:rPr>
                <w:rFonts w:ascii="宋体" w:hAnsi="宋体" w:cs="宋体"/>
                <w:bCs/>
                <w:color w:val="000000"/>
                <w:kern w:val="0"/>
                <w:sz w:val="24"/>
                <w:szCs w:val="24"/>
                <w:lang w:val="en-GB" w:bidi="ar-AE"/>
              </w:rPr>
              <w:sym w:font="Wingdings" w:char="F0A8"/>
            </w:r>
            <w:r>
              <w:rPr>
                <w:rFonts w:hint="eastAsia" w:ascii="宋体" w:hAnsi="宋体" w:cs="宋体"/>
                <w:bCs/>
                <w:color w:val="000000"/>
                <w:kern w:val="0"/>
                <w:sz w:val="24"/>
                <w:szCs w:val="24"/>
                <w:lang w:val="en-GB" w:bidi="ar-AE"/>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1" w:type="dxa"/>
            <w:vMerge w:val="continue"/>
            <w:tcBorders>
              <w:top w:val="single" w:color="auto" w:sz="4" w:space="0"/>
              <w:left w:val="single" w:color="auto" w:sz="4" w:space="0"/>
              <w:bottom w:val="single" w:color="auto" w:sz="4" w:space="0"/>
              <w:right w:val="single" w:color="auto" w:sz="4" w:space="0"/>
            </w:tcBorders>
            <w:vAlign w:val="center"/>
          </w:tcPr>
          <w:p>
            <w:pPr>
              <w:rPr>
                <w:rFonts w:ascii="宋体" w:hAnsi="宋体" w:cs="宋体"/>
                <w:bCs/>
                <w:color w:val="000000"/>
                <w:kern w:val="0"/>
                <w:sz w:val="24"/>
                <w:szCs w:val="24"/>
                <w:lang w:bidi="ar-AE"/>
              </w:rPr>
            </w:pPr>
          </w:p>
        </w:tc>
        <w:tc>
          <w:tcPr>
            <w:tcW w:w="770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s="宋体"/>
                <w:bCs/>
                <w:color w:val="000000"/>
                <w:kern w:val="0"/>
                <w:sz w:val="24"/>
                <w:szCs w:val="24"/>
                <w:lang w:bidi="ar-AE"/>
              </w:rPr>
            </w:pPr>
            <w:r>
              <w:rPr>
                <w:rFonts w:ascii="宋体" w:hAnsi="宋体" w:cs="宋体"/>
                <w:bCs/>
                <w:color w:val="000000"/>
                <w:kern w:val="0"/>
                <w:sz w:val="24"/>
                <w:szCs w:val="24"/>
                <w:lang w:val="en-GB" w:bidi="ar-AE"/>
              </w:rPr>
              <w:sym w:font="Wingdings" w:char="F0A8"/>
            </w:r>
            <w:r>
              <w:rPr>
                <w:rFonts w:hint="eastAsia" w:ascii="宋体" w:hAnsi="宋体" w:cs="宋体"/>
                <w:bCs/>
                <w:color w:val="000000"/>
                <w:kern w:val="0"/>
                <w:sz w:val="24"/>
                <w:szCs w:val="24"/>
                <w:lang w:val="en-GB" w:bidi="ar-AE"/>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1" w:type="dxa"/>
            <w:tcBorders>
              <w:top w:val="single" w:color="auto" w:sz="4" w:space="0"/>
              <w:left w:val="single" w:color="auto" w:sz="4" w:space="0"/>
              <w:bottom w:val="single" w:color="auto" w:sz="4" w:space="0"/>
              <w:right w:val="single" w:color="auto" w:sz="4" w:space="0"/>
            </w:tcBorders>
            <w:shd w:val="clear" w:color="auto" w:fill="D9D9D9"/>
            <w:vAlign w:val="center"/>
          </w:tcPr>
          <w:p>
            <w:pPr>
              <w:adjustRightInd w:val="0"/>
              <w:snapToGrid w:val="0"/>
              <w:rPr>
                <w:rFonts w:ascii="宋体" w:hAnsi="宋体" w:cs="宋体"/>
                <w:bCs/>
                <w:color w:val="000000"/>
                <w:kern w:val="0"/>
                <w:sz w:val="24"/>
                <w:szCs w:val="24"/>
                <w:lang w:bidi="ar-AE"/>
              </w:rPr>
            </w:pPr>
            <w:r>
              <w:rPr>
                <w:rFonts w:hint="eastAsia" w:ascii="宋体" w:hAnsi="宋体" w:cs="宋体"/>
                <w:bCs/>
                <w:color w:val="000000"/>
                <w:kern w:val="0"/>
                <w:sz w:val="24"/>
                <w:szCs w:val="24"/>
                <w:lang w:bidi="ar-AE"/>
              </w:rPr>
              <w:t>备注</w:t>
            </w:r>
          </w:p>
        </w:tc>
        <w:tc>
          <w:tcPr>
            <w:tcW w:w="7704" w:type="dxa"/>
            <w:gridSpan w:val="2"/>
            <w:tcBorders>
              <w:top w:val="single" w:color="auto" w:sz="4" w:space="0"/>
              <w:left w:val="single" w:color="auto" w:sz="4" w:space="0"/>
              <w:bottom w:val="single" w:color="auto" w:sz="4" w:space="0"/>
              <w:right w:val="single" w:color="auto" w:sz="4" w:space="0"/>
            </w:tcBorders>
            <w:vAlign w:val="center"/>
          </w:tcPr>
          <w:p>
            <w:pPr>
              <w:pStyle w:val="4"/>
              <w:adjustRightInd w:val="0"/>
              <w:snapToGrid w:val="0"/>
              <w:spacing w:after="0"/>
              <w:rPr>
                <w:rFonts w:ascii="宋体" w:hAnsi="宋体" w:cs="宋体"/>
                <w:b/>
                <w:color w:val="000000"/>
                <w:lang w:eastAsia="zh-CN"/>
              </w:rPr>
            </w:pPr>
            <w:r>
              <w:rPr>
                <w:rFonts w:hint="eastAsia" w:ascii="宋体" w:hAnsi="宋体" w:cs="宋体"/>
                <w:b/>
                <w:color w:val="000000"/>
                <w:lang w:eastAsia="zh-CN"/>
              </w:rPr>
              <w:t>横向重叠：</w:t>
            </w:r>
          </w:p>
          <w:p>
            <w:pPr>
              <w:pStyle w:val="4"/>
              <w:adjustRightInd w:val="0"/>
              <w:snapToGrid w:val="0"/>
              <w:spacing w:after="0"/>
              <w:rPr>
                <w:rFonts w:ascii="宋体" w:hAnsi="宋体" w:cs="宋体"/>
                <w:b/>
                <w:color w:val="000000"/>
                <w:lang w:eastAsia="zh-CN"/>
              </w:rPr>
            </w:pPr>
          </w:p>
          <w:p>
            <w:pPr>
              <w:pStyle w:val="4"/>
              <w:numPr>
                <w:ilvl w:val="0"/>
                <w:numId w:val="1"/>
              </w:numPr>
              <w:adjustRightInd w:val="0"/>
              <w:snapToGrid w:val="0"/>
              <w:spacing w:after="0"/>
              <w:rPr>
                <w:rFonts w:ascii="宋体" w:hAnsi="宋体" w:cs="宋体"/>
                <w:bCs/>
                <w:color w:val="000000"/>
                <w:lang w:eastAsia="zh-CN"/>
              </w:rPr>
            </w:pPr>
            <w:r>
              <w:rPr>
                <w:rFonts w:ascii="宋体" w:hAnsi="宋体" w:cs="宋体"/>
                <w:bCs/>
                <w:color w:val="000000"/>
                <w:lang w:eastAsia="zh-CN"/>
              </w:rPr>
              <w:t>2020</w:t>
            </w:r>
            <w:r>
              <w:rPr>
                <w:rFonts w:hint="eastAsia" w:ascii="宋体" w:hAnsi="宋体" w:cs="宋体"/>
                <w:bCs/>
                <w:color w:val="000000"/>
                <w:lang w:eastAsia="zh-CN"/>
              </w:rPr>
              <w:t>年中国境内快递服务市场</w:t>
            </w:r>
          </w:p>
          <w:p>
            <w:pPr>
              <w:adjustRightInd w:val="0"/>
              <w:snapToGrid w:val="0"/>
              <w:rPr>
                <w:rFonts w:ascii="宋体" w:hAnsi="宋体" w:cs="宋体"/>
                <w:bCs/>
                <w:color w:val="000000"/>
                <w:sz w:val="24"/>
                <w:szCs w:val="24"/>
              </w:rPr>
            </w:pPr>
          </w:p>
          <w:p>
            <w:pPr>
              <w:adjustRightInd w:val="0"/>
              <w:snapToGrid w:val="0"/>
              <w:rPr>
                <w:rFonts w:ascii="宋体" w:hAnsi="宋体" w:cs="宋体"/>
                <w:bCs/>
                <w:color w:val="000000"/>
                <w:sz w:val="24"/>
                <w:szCs w:val="24"/>
              </w:rPr>
            </w:pPr>
            <w:r>
              <w:rPr>
                <w:rFonts w:hint="eastAsia" w:ascii="宋体" w:hAnsi="宋体" w:cs="宋体"/>
                <w:bCs/>
                <w:color w:val="000000"/>
                <w:sz w:val="24"/>
                <w:szCs w:val="24"/>
              </w:rPr>
              <w:t>京东卓风：</w:t>
            </w:r>
            <w:r>
              <w:rPr>
                <w:rFonts w:ascii="宋体" w:hAnsi="宋体" w:cs="宋体"/>
                <w:bCs/>
                <w:color w:val="000000"/>
                <w:sz w:val="24"/>
                <w:szCs w:val="24"/>
              </w:rPr>
              <w:t>0-5%</w:t>
            </w:r>
            <w:r>
              <w:rPr>
                <w:rFonts w:hint="eastAsia" w:ascii="宋体" w:hAnsi="宋体" w:cs="宋体"/>
                <w:bCs/>
                <w:color w:val="000000"/>
                <w:sz w:val="24"/>
                <w:szCs w:val="24"/>
              </w:rPr>
              <w:t>；</w:t>
            </w:r>
            <w:r>
              <w:rPr>
                <w:rFonts w:ascii="宋体" w:hAnsi="宋体" w:cs="宋体"/>
                <w:bCs/>
                <w:color w:val="000000"/>
                <w:sz w:val="24"/>
                <w:szCs w:val="24"/>
              </w:rPr>
              <w:t>德邦控股（</w:t>
            </w:r>
            <w:r>
              <w:rPr>
                <w:rFonts w:hint="eastAsia" w:ascii="宋体" w:hAnsi="宋体" w:cs="宋体"/>
                <w:bCs/>
                <w:color w:val="000000"/>
                <w:sz w:val="24"/>
                <w:szCs w:val="24"/>
              </w:rPr>
              <w:t>含德邦股份）：</w:t>
            </w:r>
            <w:r>
              <w:rPr>
                <w:rFonts w:ascii="宋体" w:hAnsi="宋体" w:cs="宋体"/>
                <w:bCs/>
                <w:color w:val="000000"/>
                <w:sz w:val="24"/>
                <w:szCs w:val="24"/>
              </w:rPr>
              <w:t>0-5%</w:t>
            </w:r>
            <w:r>
              <w:rPr>
                <w:rFonts w:hint="eastAsia" w:ascii="宋体" w:hAnsi="宋体" w:cs="宋体"/>
                <w:bCs/>
                <w:color w:val="000000"/>
                <w:sz w:val="24"/>
                <w:szCs w:val="24"/>
              </w:rPr>
              <w:t>；双方合计：0-5%</w:t>
            </w:r>
          </w:p>
          <w:p>
            <w:pPr>
              <w:pStyle w:val="4"/>
              <w:adjustRightInd w:val="0"/>
              <w:snapToGrid w:val="0"/>
              <w:spacing w:after="0"/>
              <w:rPr>
                <w:rFonts w:ascii="宋体" w:hAnsi="宋体" w:cs="宋体"/>
                <w:bCs/>
                <w:color w:val="000000"/>
                <w:lang w:eastAsia="zh-CN"/>
              </w:rPr>
            </w:pPr>
          </w:p>
          <w:p>
            <w:pPr>
              <w:pStyle w:val="4"/>
              <w:numPr>
                <w:ilvl w:val="0"/>
                <w:numId w:val="1"/>
              </w:numPr>
              <w:adjustRightInd w:val="0"/>
              <w:snapToGrid w:val="0"/>
              <w:spacing w:after="0"/>
              <w:rPr>
                <w:rFonts w:ascii="宋体" w:hAnsi="宋体" w:cs="宋体"/>
                <w:bCs/>
                <w:color w:val="000000"/>
                <w:lang w:eastAsia="zh-CN"/>
              </w:rPr>
            </w:pPr>
            <w:r>
              <w:rPr>
                <w:rFonts w:hint="eastAsia" w:ascii="宋体" w:hAnsi="宋体" w:cs="宋体"/>
                <w:bCs/>
                <w:color w:val="000000"/>
                <w:lang w:eastAsia="zh-CN"/>
              </w:rPr>
              <w:t>2</w:t>
            </w:r>
            <w:r>
              <w:rPr>
                <w:rFonts w:ascii="宋体" w:hAnsi="宋体" w:cs="宋体"/>
                <w:bCs/>
                <w:color w:val="000000"/>
                <w:lang w:eastAsia="zh-CN"/>
              </w:rPr>
              <w:t>020</w:t>
            </w:r>
            <w:r>
              <w:rPr>
                <w:rFonts w:hint="eastAsia" w:ascii="宋体" w:hAnsi="宋体" w:cs="宋体"/>
                <w:bCs/>
                <w:color w:val="000000"/>
                <w:lang w:eastAsia="zh-CN"/>
              </w:rPr>
              <w:t>年中国境内快运物流服务市场</w:t>
            </w:r>
          </w:p>
          <w:p>
            <w:pPr>
              <w:adjustRightInd w:val="0"/>
              <w:snapToGrid w:val="0"/>
              <w:rPr>
                <w:rFonts w:ascii="宋体" w:hAnsi="宋体" w:cs="宋体"/>
                <w:bCs/>
                <w:color w:val="000000"/>
                <w:sz w:val="24"/>
                <w:szCs w:val="24"/>
              </w:rPr>
            </w:pPr>
          </w:p>
          <w:p>
            <w:pPr>
              <w:adjustRightInd w:val="0"/>
              <w:snapToGrid w:val="0"/>
              <w:rPr>
                <w:rFonts w:ascii="宋体" w:hAnsi="宋体" w:cs="宋体"/>
                <w:bCs/>
                <w:color w:val="000000"/>
                <w:sz w:val="24"/>
                <w:szCs w:val="24"/>
              </w:rPr>
            </w:pPr>
            <w:r>
              <w:rPr>
                <w:rFonts w:hint="eastAsia" w:ascii="宋体" w:hAnsi="宋体" w:cs="宋体"/>
                <w:bCs/>
                <w:color w:val="000000"/>
                <w:sz w:val="24"/>
                <w:szCs w:val="24"/>
              </w:rPr>
              <w:t>京东卓风：0-5%；</w:t>
            </w:r>
            <w:r>
              <w:rPr>
                <w:rFonts w:ascii="宋体" w:hAnsi="宋体" w:cs="宋体"/>
                <w:bCs/>
                <w:color w:val="000000"/>
                <w:sz w:val="24"/>
                <w:szCs w:val="24"/>
              </w:rPr>
              <w:t>德邦控股（</w:t>
            </w:r>
            <w:r>
              <w:rPr>
                <w:rFonts w:hint="eastAsia" w:ascii="宋体" w:hAnsi="宋体" w:cs="宋体"/>
                <w:bCs/>
                <w:color w:val="000000"/>
                <w:sz w:val="24"/>
                <w:szCs w:val="24"/>
              </w:rPr>
              <w:t>含德邦股份）：0-5%；双方合计：0-5%</w:t>
            </w:r>
          </w:p>
          <w:p>
            <w:pPr>
              <w:pStyle w:val="4"/>
              <w:adjustRightInd w:val="0"/>
              <w:snapToGrid w:val="0"/>
              <w:spacing w:after="0"/>
              <w:rPr>
                <w:rFonts w:ascii="宋体" w:hAnsi="宋体" w:cs="宋体"/>
                <w:b/>
                <w:color w:val="000000"/>
                <w:lang w:eastAsia="zh-CN"/>
              </w:rPr>
            </w:pPr>
          </w:p>
          <w:p>
            <w:pPr>
              <w:pStyle w:val="4"/>
              <w:numPr>
                <w:ilvl w:val="0"/>
                <w:numId w:val="1"/>
              </w:numPr>
              <w:adjustRightInd w:val="0"/>
              <w:snapToGrid w:val="0"/>
              <w:spacing w:after="0"/>
              <w:rPr>
                <w:rFonts w:ascii="宋体" w:hAnsi="宋体" w:cs="宋体"/>
                <w:bCs/>
                <w:color w:val="000000"/>
                <w:lang w:eastAsia="zh-CN"/>
              </w:rPr>
            </w:pPr>
            <w:r>
              <w:rPr>
                <w:rFonts w:hint="eastAsia" w:ascii="宋体" w:hAnsi="宋体" w:cs="宋体"/>
                <w:bCs/>
                <w:color w:val="000000"/>
                <w:lang w:eastAsia="zh-CN"/>
              </w:rPr>
              <w:t>潜在横向重叠：厦门、青岛、淮安和郑州通用仓库开发和租赁市场</w:t>
            </w:r>
          </w:p>
          <w:p>
            <w:pPr>
              <w:pStyle w:val="4"/>
              <w:adjustRightInd w:val="0"/>
              <w:snapToGrid w:val="0"/>
              <w:spacing w:after="0"/>
              <w:rPr>
                <w:rFonts w:ascii="宋体" w:hAnsi="宋体" w:cs="宋体"/>
                <w:b/>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目前</w:t>
            </w:r>
            <w:r>
              <w:rPr>
                <w:rFonts w:ascii="宋体" w:hAnsi="宋体" w:cs="宋体"/>
                <w:bCs/>
                <w:color w:val="000000"/>
                <w:lang w:eastAsia="zh-CN"/>
              </w:rPr>
              <w:t>德邦控股（</w:t>
            </w:r>
            <w:r>
              <w:rPr>
                <w:rFonts w:hint="eastAsia" w:ascii="宋体" w:hAnsi="宋体" w:cs="宋体"/>
                <w:bCs/>
                <w:color w:val="000000"/>
                <w:lang w:eastAsia="zh-CN"/>
              </w:rPr>
              <w:t>含德邦股份）尚未向任何第三方出租任何其已经建成的通用仓库，但如将德邦控股（含德邦股份）尚未建成的通用仓库纳入考虑，在本次交易后，双方预计将在厦门、青岛、淮安和郑州市通用仓库开发和租赁市场具有潜在重叠。双方在厦门、青岛、淮安和郑州市通用仓库开发和租赁市场的预估市场份额为：</w:t>
            </w:r>
          </w:p>
          <w:p>
            <w:pPr>
              <w:pStyle w:val="4"/>
              <w:adjustRightInd w:val="0"/>
              <w:snapToGrid w:val="0"/>
              <w:spacing w:after="0"/>
              <w:ind w:left="360"/>
              <w:rPr>
                <w:rFonts w:ascii="宋体" w:hAnsi="宋体" w:cs="宋体"/>
                <w:bCs/>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（3</w:t>
            </w:r>
            <w:r>
              <w:rPr>
                <w:rFonts w:ascii="宋体" w:hAnsi="宋体" w:cs="宋体"/>
                <w:bCs/>
                <w:color w:val="000000"/>
                <w:lang w:eastAsia="zh-CN"/>
              </w:rPr>
              <w:t>.1</w:t>
            </w:r>
            <w:r>
              <w:rPr>
                <w:rFonts w:hint="eastAsia" w:ascii="宋体" w:hAnsi="宋体" w:cs="宋体"/>
                <w:bCs/>
                <w:color w:val="000000"/>
                <w:lang w:eastAsia="zh-CN"/>
              </w:rPr>
              <w:t>）2</w:t>
            </w:r>
            <w:r>
              <w:rPr>
                <w:rFonts w:ascii="宋体" w:hAnsi="宋体" w:cs="宋体"/>
                <w:bCs/>
                <w:color w:val="000000"/>
                <w:lang w:eastAsia="zh-CN"/>
              </w:rPr>
              <w:t>020</w:t>
            </w:r>
            <w:r>
              <w:rPr>
                <w:rFonts w:hint="eastAsia" w:ascii="宋体" w:hAnsi="宋体" w:cs="宋体"/>
                <w:bCs/>
                <w:color w:val="000000"/>
                <w:lang w:eastAsia="zh-CN"/>
              </w:rPr>
              <w:t>年厦门市通用仓库开发和租赁市场</w:t>
            </w:r>
          </w:p>
          <w:p>
            <w:pPr>
              <w:pStyle w:val="4"/>
              <w:adjustRightInd w:val="0"/>
              <w:snapToGrid w:val="0"/>
              <w:spacing w:after="0"/>
              <w:ind w:left="360"/>
              <w:rPr>
                <w:rFonts w:ascii="宋体" w:hAnsi="宋体" w:cs="宋体"/>
                <w:bCs/>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京东卓风：</w:t>
            </w:r>
            <w:r>
              <w:rPr>
                <w:rFonts w:ascii="宋体" w:hAnsi="宋体" w:cs="宋体"/>
                <w:bCs/>
                <w:color w:val="000000"/>
                <w:lang w:eastAsia="zh-CN"/>
              </w:rPr>
              <w:t>0-5%</w:t>
            </w:r>
            <w:r>
              <w:rPr>
                <w:rFonts w:hint="eastAsia" w:ascii="宋体" w:hAnsi="宋体" w:cs="宋体"/>
                <w:bCs/>
                <w:color w:val="000000"/>
                <w:lang w:eastAsia="zh-CN"/>
              </w:rPr>
              <w:t>；</w:t>
            </w:r>
            <w:r>
              <w:rPr>
                <w:rFonts w:ascii="宋体" w:hAnsi="宋体" w:cs="宋体"/>
                <w:bCs/>
                <w:color w:val="000000"/>
                <w:lang w:eastAsia="zh-CN"/>
              </w:rPr>
              <w:t>德邦控股（</w:t>
            </w:r>
            <w:r>
              <w:rPr>
                <w:rFonts w:hint="eastAsia" w:ascii="宋体" w:hAnsi="宋体" w:cs="宋体"/>
                <w:bCs/>
                <w:color w:val="000000"/>
                <w:lang w:eastAsia="zh-CN"/>
              </w:rPr>
              <w:t>含德邦股份）（预估）：0-</w:t>
            </w:r>
            <w:r>
              <w:rPr>
                <w:rFonts w:ascii="宋体" w:hAnsi="宋体" w:cs="宋体"/>
                <w:bCs/>
                <w:color w:val="000000"/>
                <w:lang w:eastAsia="zh-CN"/>
              </w:rPr>
              <w:t>5%</w:t>
            </w:r>
            <w:r>
              <w:rPr>
                <w:rFonts w:hint="eastAsia" w:ascii="宋体" w:hAnsi="宋体" w:cs="宋体"/>
                <w:bCs/>
                <w:color w:val="000000"/>
                <w:lang w:eastAsia="zh-CN"/>
              </w:rPr>
              <w:t>；双方合计（预估）：</w:t>
            </w:r>
            <w:r>
              <w:rPr>
                <w:rFonts w:ascii="宋体" w:hAnsi="宋体" w:cs="宋体"/>
                <w:bCs/>
                <w:color w:val="000000"/>
                <w:lang w:eastAsia="zh-CN"/>
              </w:rPr>
              <w:t>0-5</w:t>
            </w:r>
            <w:r>
              <w:rPr>
                <w:rFonts w:hint="eastAsia" w:ascii="宋体" w:hAnsi="宋体" w:cs="宋体"/>
                <w:bCs/>
                <w:color w:val="000000"/>
                <w:lang w:eastAsia="zh-CN"/>
              </w:rPr>
              <w:t>%</w:t>
            </w:r>
          </w:p>
          <w:p>
            <w:pPr>
              <w:pStyle w:val="4"/>
              <w:adjustRightInd w:val="0"/>
              <w:snapToGrid w:val="0"/>
              <w:spacing w:after="0"/>
              <w:ind w:left="360"/>
              <w:rPr>
                <w:rFonts w:ascii="宋体" w:hAnsi="宋体" w:cs="宋体"/>
                <w:bCs/>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（3</w:t>
            </w:r>
            <w:r>
              <w:rPr>
                <w:rFonts w:ascii="宋体" w:hAnsi="宋体" w:cs="宋体"/>
                <w:bCs/>
                <w:color w:val="000000"/>
                <w:lang w:eastAsia="zh-CN"/>
              </w:rPr>
              <w:t>.2</w:t>
            </w:r>
            <w:r>
              <w:rPr>
                <w:rFonts w:hint="eastAsia" w:ascii="宋体" w:hAnsi="宋体" w:cs="宋体"/>
                <w:bCs/>
                <w:color w:val="000000"/>
                <w:lang w:eastAsia="zh-CN"/>
              </w:rPr>
              <w:t>）2</w:t>
            </w:r>
            <w:r>
              <w:rPr>
                <w:rFonts w:ascii="宋体" w:hAnsi="宋体" w:cs="宋体"/>
                <w:bCs/>
                <w:color w:val="000000"/>
                <w:lang w:eastAsia="zh-CN"/>
              </w:rPr>
              <w:t>020</w:t>
            </w:r>
            <w:r>
              <w:rPr>
                <w:rFonts w:hint="eastAsia" w:ascii="宋体" w:hAnsi="宋体" w:cs="宋体"/>
                <w:bCs/>
                <w:color w:val="000000"/>
                <w:lang w:eastAsia="zh-CN"/>
              </w:rPr>
              <w:t>年青岛市通用仓库开发和租赁市场</w:t>
            </w:r>
          </w:p>
          <w:p>
            <w:pPr>
              <w:pStyle w:val="4"/>
              <w:adjustRightInd w:val="0"/>
              <w:snapToGrid w:val="0"/>
              <w:spacing w:after="0"/>
              <w:ind w:left="360"/>
              <w:rPr>
                <w:rFonts w:ascii="宋体" w:hAnsi="宋体" w:cs="宋体"/>
                <w:bCs/>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京东卓风：</w:t>
            </w:r>
            <w:r>
              <w:rPr>
                <w:rFonts w:ascii="宋体" w:hAnsi="宋体" w:cs="宋体"/>
                <w:bCs/>
                <w:color w:val="000000"/>
                <w:lang w:eastAsia="zh-CN"/>
              </w:rPr>
              <w:t>0-5%</w:t>
            </w:r>
            <w:r>
              <w:rPr>
                <w:rFonts w:hint="eastAsia" w:ascii="宋体" w:hAnsi="宋体" w:cs="宋体"/>
                <w:bCs/>
                <w:color w:val="000000"/>
                <w:lang w:eastAsia="zh-CN"/>
              </w:rPr>
              <w:t>；</w:t>
            </w:r>
            <w:r>
              <w:rPr>
                <w:rFonts w:ascii="宋体" w:hAnsi="宋体" w:cs="宋体"/>
                <w:bCs/>
                <w:color w:val="000000"/>
                <w:lang w:eastAsia="zh-CN"/>
              </w:rPr>
              <w:t>德邦控股（</w:t>
            </w:r>
            <w:r>
              <w:rPr>
                <w:rFonts w:hint="eastAsia" w:ascii="宋体" w:hAnsi="宋体" w:cs="宋体"/>
                <w:bCs/>
                <w:color w:val="000000"/>
                <w:lang w:eastAsia="zh-CN"/>
              </w:rPr>
              <w:t>含德邦股份）（预估）：0-</w:t>
            </w:r>
            <w:r>
              <w:rPr>
                <w:rFonts w:ascii="宋体" w:hAnsi="宋体" w:cs="宋体"/>
                <w:bCs/>
                <w:color w:val="000000"/>
                <w:lang w:eastAsia="zh-CN"/>
              </w:rPr>
              <w:t>5%</w:t>
            </w:r>
            <w:r>
              <w:rPr>
                <w:rFonts w:hint="eastAsia" w:ascii="宋体" w:hAnsi="宋体" w:cs="宋体"/>
                <w:bCs/>
                <w:color w:val="000000"/>
                <w:lang w:eastAsia="zh-CN"/>
              </w:rPr>
              <w:t>；双方合计（预估）：</w:t>
            </w:r>
            <w:r>
              <w:rPr>
                <w:rFonts w:ascii="宋体" w:hAnsi="宋体" w:cs="宋体"/>
                <w:bCs/>
                <w:color w:val="000000"/>
                <w:lang w:eastAsia="zh-CN"/>
              </w:rPr>
              <w:t>0-5</w:t>
            </w:r>
            <w:r>
              <w:rPr>
                <w:rFonts w:hint="eastAsia" w:ascii="宋体" w:hAnsi="宋体" w:cs="宋体"/>
                <w:bCs/>
                <w:color w:val="000000"/>
                <w:lang w:eastAsia="zh-CN"/>
              </w:rPr>
              <w:t>%</w:t>
            </w:r>
          </w:p>
          <w:p>
            <w:pPr>
              <w:pStyle w:val="4"/>
              <w:adjustRightInd w:val="0"/>
              <w:snapToGrid w:val="0"/>
              <w:spacing w:after="0"/>
              <w:ind w:left="360"/>
              <w:rPr>
                <w:rFonts w:ascii="宋体" w:hAnsi="宋体" w:cs="宋体"/>
                <w:bCs/>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（3</w:t>
            </w:r>
            <w:r>
              <w:rPr>
                <w:rFonts w:ascii="宋体" w:hAnsi="宋体" w:cs="宋体"/>
                <w:bCs/>
                <w:color w:val="000000"/>
                <w:lang w:eastAsia="zh-CN"/>
              </w:rPr>
              <w:t>.3</w:t>
            </w:r>
            <w:r>
              <w:rPr>
                <w:rFonts w:hint="eastAsia" w:ascii="宋体" w:hAnsi="宋体" w:cs="宋体"/>
                <w:bCs/>
                <w:color w:val="000000"/>
                <w:lang w:eastAsia="zh-CN"/>
              </w:rPr>
              <w:t>）2</w:t>
            </w:r>
            <w:r>
              <w:rPr>
                <w:rFonts w:ascii="宋体" w:hAnsi="宋体" w:cs="宋体"/>
                <w:bCs/>
                <w:color w:val="000000"/>
                <w:lang w:eastAsia="zh-CN"/>
              </w:rPr>
              <w:t>020</w:t>
            </w:r>
            <w:r>
              <w:rPr>
                <w:rFonts w:hint="eastAsia" w:ascii="宋体" w:hAnsi="宋体" w:cs="宋体"/>
                <w:bCs/>
                <w:color w:val="000000"/>
                <w:lang w:eastAsia="zh-CN"/>
              </w:rPr>
              <w:t>年淮安市通用仓库开发和租赁市场</w:t>
            </w:r>
          </w:p>
          <w:p>
            <w:pPr>
              <w:pStyle w:val="4"/>
              <w:adjustRightInd w:val="0"/>
              <w:snapToGrid w:val="0"/>
              <w:spacing w:after="0"/>
              <w:ind w:left="360"/>
              <w:rPr>
                <w:rFonts w:ascii="宋体" w:hAnsi="宋体" w:cs="宋体"/>
                <w:bCs/>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京东卓风：</w:t>
            </w:r>
            <w:r>
              <w:rPr>
                <w:rFonts w:ascii="宋体" w:hAnsi="宋体" w:cs="宋体"/>
                <w:bCs/>
                <w:color w:val="000000"/>
                <w:lang w:eastAsia="zh-CN"/>
              </w:rPr>
              <w:t>0-5%</w:t>
            </w:r>
            <w:r>
              <w:rPr>
                <w:rFonts w:hint="eastAsia" w:ascii="宋体" w:hAnsi="宋体" w:cs="宋体"/>
                <w:bCs/>
                <w:color w:val="000000"/>
                <w:lang w:eastAsia="zh-CN"/>
              </w:rPr>
              <w:t>；</w:t>
            </w:r>
            <w:r>
              <w:rPr>
                <w:rFonts w:ascii="宋体" w:hAnsi="宋体" w:cs="宋体"/>
                <w:bCs/>
                <w:color w:val="000000"/>
                <w:lang w:eastAsia="zh-CN"/>
              </w:rPr>
              <w:t>德邦控股（</w:t>
            </w:r>
            <w:r>
              <w:rPr>
                <w:rFonts w:hint="eastAsia" w:ascii="宋体" w:hAnsi="宋体" w:cs="宋体"/>
                <w:bCs/>
                <w:color w:val="000000"/>
                <w:lang w:eastAsia="zh-CN"/>
              </w:rPr>
              <w:t>含德邦股份）（预估）：0-</w:t>
            </w:r>
            <w:r>
              <w:rPr>
                <w:rFonts w:ascii="宋体" w:hAnsi="宋体" w:cs="宋体"/>
                <w:bCs/>
                <w:color w:val="000000"/>
                <w:lang w:eastAsia="zh-CN"/>
              </w:rPr>
              <w:t>5%</w:t>
            </w:r>
            <w:r>
              <w:rPr>
                <w:rFonts w:hint="eastAsia" w:ascii="宋体" w:hAnsi="宋体" w:cs="宋体"/>
                <w:bCs/>
                <w:color w:val="000000"/>
                <w:lang w:eastAsia="zh-CN"/>
              </w:rPr>
              <w:t>；双方合计（预估）：</w:t>
            </w:r>
            <w:r>
              <w:rPr>
                <w:rFonts w:ascii="宋体" w:hAnsi="宋体" w:cs="宋体"/>
                <w:bCs/>
                <w:color w:val="000000"/>
                <w:lang w:eastAsia="zh-CN"/>
              </w:rPr>
              <w:t>0-5</w:t>
            </w:r>
            <w:r>
              <w:rPr>
                <w:rFonts w:hint="eastAsia" w:ascii="宋体" w:hAnsi="宋体" w:cs="宋体"/>
                <w:bCs/>
                <w:color w:val="000000"/>
                <w:lang w:eastAsia="zh-CN"/>
              </w:rPr>
              <w:t>%</w:t>
            </w:r>
          </w:p>
          <w:p>
            <w:pPr>
              <w:pStyle w:val="4"/>
              <w:adjustRightInd w:val="0"/>
              <w:snapToGrid w:val="0"/>
              <w:spacing w:after="0"/>
              <w:ind w:left="360"/>
              <w:rPr>
                <w:rFonts w:ascii="宋体" w:hAnsi="宋体" w:cs="宋体"/>
                <w:bCs/>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w:t>
            </w:r>
            <w:r>
              <w:rPr>
                <w:rFonts w:ascii="宋体" w:hAnsi="宋体" w:cs="宋体"/>
                <w:bCs/>
                <w:color w:val="000000"/>
                <w:lang w:eastAsia="zh-CN"/>
              </w:rPr>
              <w:t>3.4</w:t>
            </w:r>
            <w:r>
              <w:rPr>
                <w:rFonts w:hint="eastAsia" w:ascii="宋体" w:hAnsi="宋体" w:cs="宋体"/>
                <w:bCs/>
                <w:color w:val="000000"/>
                <w:lang w:eastAsia="zh-CN"/>
              </w:rPr>
              <w:t>）2</w:t>
            </w:r>
            <w:r>
              <w:rPr>
                <w:rFonts w:ascii="宋体" w:hAnsi="宋体" w:cs="宋体"/>
                <w:bCs/>
                <w:color w:val="000000"/>
                <w:lang w:eastAsia="zh-CN"/>
              </w:rPr>
              <w:t>020</w:t>
            </w:r>
            <w:r>
              <w:rPr>
                <w:rFonts w:hint="eastAsia" w:ascii="宋体" w:hAnsi="宋体" w:cs="宋体"/>
                <w:bCs/>
                <w:color w:val="000000"/>
                <w:lang w:eastAsia="zh-CN"/>
              </w:rPr>
              <w:t>年郑州市通用仓库开发和租赁市场</w:t>
            </w:r>
          </w:p>
          <w:p>
            <w:pPr>
              <w:pStyle w:val="4"/>
              <w:adjustRightInd w:val="0"/>
              <w:snapToGrid w:val="0"/>
              <w:spacing w:after="0"/>
              <w:ind w:left="360"/>
              <w:rPr>
                <w:rFonts w:ascii="宋体" w:hAnsi="宋体" w:cs="宋体"/>
                <w:bCs/>
                <w:color w:val="000000"/>
                <w:lang w:eastAsia="zh-CN"/>
              </w:rPr>
            </w:pPr>
          </w:p>
          <w:p>
            <w:pPr>
              <w:pStyle w:val="4"/>
              <w:adjustRightInd w:val="0"/>
              <w:snapToGrid w:val="0"/>
              <w:spacing w:after="0"/>
              <w:ind w:left="360"/>
              <w:rPr>
                <w:rFonts w:ascii="宋体" w:hAnsi="宋体" w:cs="宋体"/>
                <w:bCs/>
                <w:color w:val="000000"/>
                <w:lang w:eastAsia="zh-CN"/>
              </w:rPr>
            </w:pPr>
            <w:r>
              <w:rPr>
                <w:rFonts w:hint="eastAsia" w:ascii="宋体" w:hAnsi="宋体" w:cs="宋体"/>
                <w:bCs/>
                <w:color w:val="000000"/>
                <w:lang w:eastAsia="zh-CN"/>
              </w:rPr>
              <w:t>京东卓风：</w:t>
            </w:r>
            <w:r>
              <w:rPr>
                <w:rFonts w:ascii="宋体" w:hAnsi="宋体" w:cs="宋体"/>
                <w:bCs/>
                <w:color w:val="000000"/>
                <w:lang w:eastAsia="zh-CN"/>
              </w:rPr>
              <w:t>5</w:t>
            </w:r>
            <w:r>
              <w:rPr>
                <w:rFonts w:hint="eastAsia" w:ascii="宋体" w:hAnsi="宋体" w:cs="宋体"/>
                <w:bCs/>
                <w:color w:val="000000"/>
                <w:lang w:eastAsia="zh-CN"/>
              </w:rPr>
              <w:t>-</w:t>
            </w:r>
            <w:r>
              <w:rPr>
                <w:rFonts w:ascii="宋体" w:hAnsi="宋体" w:cs="宋体"/>
                <w:bCs/>
                <w:color w:val="000000"/>
                <w:lang w:eastAsia="zh-CN"/>
              </w:rPr>
              <w:t>10%</w:t>
            </w:r>
            <w:r>
              <w:rPr>
                <w:rFonts w:hint="eastAsia" w:ascii="宋体" w:hAnsi="宋体" w:cs="宋体"/>
                <w:bCs/>
                <w:color w:val="000000"/>
                <w:lang w:eastAsia="zh-CN"/>
              </w:rPr>
              <w:t>；</w:t>
            </w:r>
            <w:r>
              <w:rPr>
                <w:rFonts w:ascii="宋体" w:hAnsi="宋体" w:cs="宋体"/>
                <w:bCs/>
                <w:color w:val="000000"/>
                <w:lang w:eastAsia="zh-CN"/>
              </w:rPr>
              <w:t>德邦控股（</w:t>
            </w:r>
            <w:r>
              <w:rPr>
                <w:rFonts w:hint="eastAsia" w:ascii="宋体" w:hAnsi="宋体" w:cs="宋体"/>
                <w:bCs/>
                <w:color w:val="000000"/>
                <w:lang w:eastAsia="zh-CN"/>
              </w:rPr>
              <w:t>含德邦股份）（预估）：0-</w:t>
            </w:r>
            <w:r>
              <w:rPr>
                <w:rFonts w:ascii="宋体" w:hAnsi="宋体" w:cs="宋体"/>
                <w:bCs/>
                <w:color w:val="000000"/>
                <w:lang w:eastAsia="zh-CN"/>
              </w:rPr>
              <w:t>5%</w:t>
            </w:r>
            <w:r>
              <w:rPr>
                <w:rFonts w:hint="eastAsia" w:ascii="宋体" w:hAnsi="宋体" w:cs="宋体"/>
                <w:bCs/>
                <w:color w:val="000000"/>
                <w:lang w:eastAsia="zh-CN"/>
              </w:rPr>
              <w:t>；双方合计：</w:t>
            </w:r>
            <w:r>
              <w:rPr>
                <w:rFonts w:ascii="宋体" w:hAnsi="宋体" w:cs="宋体"/>
                <w:bCs/>
                <w:color w:val="000000"/>
                <w:lang w:eastAsia="zh-CN"/>
              </w:rPr>
              <w:t>5</w:t>
            </w:r>
            <w:r>
              <w:rPr>
                <w:rFonts w:hint="eastAsia" w:ascii="宋体" w:hAnsi="宋体" w:cs="宋体"/>
                <w:bCs/>
                <w:color w:val="000000"/>
                <w:lang w:eastAsia="zh-CN"/>
              </w:rPr>
              <w:t>-</w:t>
            </w:r>
            <w:r>
              <w:rPr>
                <w:rFonts w:ascii="宋体" w:hAnsi="宋体" w:cs="宋体"/>
                <w:bCs/>
                <w:color w:val="000000"/>
                <w:lang w:eastAsia="zh-CN"/>
              </w:rPr>
              <w:t>10</w:t>
            </w:r>
            <w:r>
              <w:rPr>
                <w:rFonts w:hint="eastAsia" w:ascii="宋体" w:hAnsi="宋体" w:cs="宋体"/>
                <w:bCs/>
                <w:color w:val="000000"/>
                <w:lang w:eastAsia="zh-CN"/>
              </w:rPr>
              <w:t>%</w:t>
            </w:r>
          </w:p>
          <w:p>
            <w:pPr>
              <w:pStyle w:val="4"/>
              <w:adjustRightInd w:val="0"/>
              <w:snapToGrid w:val="0"/>
              <w:spacing w:after="0"/>
              <w:rPr>
                <w:rFonts w:ascii="宋体" w:hAnsi="宋体" w:cs="宋体"/>
                <w:b/>
                <w:color w:val="000000"/>
                <w:lang w:eastAsia="zh-CN"/>
              </w:rPr>
            </w:pPr>
          </w:p>
          <w:p>
            <w:pPr>
              <w:pStyle w:val="4"/>
              <w:adjustRightInd w:val="0"/>
              <w:snapToGrid w:val="0"/>
              <w:spacing w:after="0"/>
              <w:rPr>
                <w:rFonts w:ascii="宋体" w:hAnsi="宋体" w:cs="宋体"/>
                <w:b/>
                <w:color w:val="000000"/>
                <w:lang w:eastAsia="zh-CN"/>
              </w:rPr>
            </w:pPr>
            <w:r>
              <w:rPr>
                <w:rFonts w:hint="eastAsia" w:ascii="宋体" w:hAnsi="宋体" w:cs="宋体"/>
                <w:b/>
                <w:color w:val="000000"/>
                <w:lang w:eastAsia="zh-CN"/>
              </w:rPr>
              <w:t>纵向关联：</w:t>
            </w:r>
          </w:p>
          <w:p>
            <w:pPr>
              <w:pStyle w:val="4"/>
              <w:adjustRightInd w:val="0"/>
              <w:snapToGrid w:val="0"/>
              <w:spacing w:after="0"/>
              <w:rPr>
                <w:rFonts w:ascii="宋体" w:hAnsi="宋体" w:cs="宋体"/>
                <w:b/>
                <w:color w:val="000000"/>
                <w:lang w:eastAsia="zh-CN"/>
              </w:rPr>
            </w:pPr>
          </w:p>
          <w:p>
            <w:pPr>
              <w:pStyle w:val="4"/>
              <w:numPr>
                <w:ilvl w:val="0"/>
                <w:numId w:val="1"/>
              </w:numPr>
              <w:adjustRightInd w:val="0"/>
              <w:snapToGrid w:val="0"/>
              <w:spacing w:after="0"/>
              <w:rPr>
                <w:rFonts w:ascii="宋体" w:hAnsi="宋体" w:cs="宋体"/>
                <w:bCs/>
                <w:color w:val="000000"/>
                <w:lang w:eastAsia="zh-CN"/>
              </w:rPr>
            </w:pPr>
            <w:r>
              <w:rPr>
                <w:rFonts w:hint="eastAsia" w:ascii="宋体" w:hAnsi="宋体" w:cs="宋体"/>
                <w:bCs/>
                <w:color w:val="000000"/>
                <w:lang w:eastAsia="zh-CN"/>
              </w:rPr>
              <w:t>相关上游市场：2</w:t>
            </w:r>
            <w:r>
              <w:rPr>
                <w:rFonts w:ascii="宋体" w:hAnsi="宋体" w:cs="宋体"/>
                <w:bCs/>
                <w:color w:val="000000"/>
                <w:lang w:eastAsia="zh-CN"/>
              </w:rPr>
              <w:t>020</w:t>
            </w:r>
            <w:r>
              <w:rPr>
                <w:rFonts w:hint="eastAsia" w:ascii="宋体" w:hAnsi="宋体" w:cs="宋体"/>
                <w:bCs/>
                <w:color w:val="000000"/>
                <w:lang w:eastAsia="zh-CN"/>
              </w:rPr>
              <w:t>年城市通用仓库开发和租赁市场</w:t>
            </w:r>
          </w:p>
          <w:p>
            <w:pPr>
              <w:adjustRightInd w:val="0"/>
              <w:snapToGrid w:val="0"/>
              <w:rPr>
                <w:rFonts w:ascii="宋体" w:hAnsi="宋体" w:cs="宋体"/>
                <w:bCs/>
                <w:color w:val="000000"/>
                <w:sz w:val="24"/>
                <w:szCs w:val="24"/>
              </w:rPr>
            </w:pPr>
          </w:p>
          <w:p>
            <w:pPr>
              <w:adjustRightInd w:val="0"/>
              <w:snapToGrid w:val="0"/>
              <w:rPr>
                <w:rFonts w:ascii="宋体" w:hAnsi="宋体" w:cs="宋体"/>
                <w:bCs/>
                <w:color w:val="000000"/>
                <w:sz w:val="24"/>
                <w:szCs w:val="24"/>
              </w:rPr>
            </w:pPr>
            <w:r>
              <w:rPr>
                <w:rFonts w:hint="eastAsia" w:ascii="宋体" w:hAnsi="宋体" w:cs="宋体"/>
                <w:bCs/>
                <w:color w:val="000000"/>
                <w:sz w:val="24"/>
                <w:szCs w:val="24"/>
              </w:rPr>
              <w:t>京东卓风与德邦</w:t>
            </w:r>
            <w:r>
              <w:rPr>
                <w:rFonts w:ascii="宋体" w:hAnsi="宋体" w:cs="宋体"/>
                <w:bCs/>
                <w:color w:val="000000"/>
                <w:sz w:val="24"/>
                <w:szCs w:val="24"/>
              </w:rPr>
              <w:t>控股（</w:t>
            </w:r>
            <w:r>
              <w:rPr>
                <w:rFonts w:hint="eastAsia" w:ascii="宋体" w:hAnsi="宋体" w:cs="宋体"/>
                <w:bCs/>
                <w:color w:val="000000"/>
                <w:sz w:val="24"/>
                <w:szCs w:val="24"/>
              </w:rPr>
              <w:t>含德邦股份）存在潜在横向重叠市场的市场份额如上所述。</w:t>
            </w:r>
          </w:p>
          <w:p>
            <w:pPr>
              <w:adjustRightInd w:val="0"/>
              <w:snapToGrid w:val="0"/>
              <w:rPr>
                <w:rFonts w:ascii="宋体" w:hAnsi="宋体" w:cs="宋体"/>
                <w:bCs/>
                <w:color w:val="000000"/>
                <w:sz w:val="24"/>
                <w:szCs w:val="24"/>
              </w:rPr>
            </w:pPr>
          </w:p>
          <w:p>
            <w:pPr>
              <w:adjustRightInd w:val="0"/>
              <w:snapToGrid w:val="0"/>
              <w:rPr>
                <w:rFonts w:ascii="宋体" w:hAnsi="宋体" w:cs="宋体"/>
                <w:bCs/>
                <w:color w:val="000000"/>
                <w:sz w:val="24"/>
                <w:szCs w:val="24"/>
              </w:rPr>
            </w:pPr>
            <w:r>
              <w:rPr>
                <w:rFonts w:hint="eastAsia" w:ascii="宋体" w:hAnsi="宋体" w:cs="宋体"/>
                <w:bCs/>
                <w:color w:val="000000"/>
                <w:sz w:val="24"/>
                <w:szCs w:val="24"/>
              </w:rPr>
              <w:t>除上述外，京东卓风在中国境内每个开展业务的城市通用仓库开发和租赁市场均小于1</w:t>
            </w:r>
            <w:r>
              <w:rPr>
                <w:rFonts w:ascii="宋体" w:hAnsi="宋体" w:cs="宋体"/>
                <w:bCs/>
                <w:color w:val="000000"/>
                <w:sz w:val="24"/>
                <w:szCs w:val="24"/>
              </w:rPr>
              <w:t>5</w:t>
            </w:r>
            <w:r>
              <w:rPr>
                <w:rFonts w:hint="eastAsia" w:ascii="宋体" w:hAnsi="宋体" w:cs="宋体"/>
                <w:bCs/>
                <w:color w:val="000000"/>
                <w:sz w:val="24"/>
                <w:szCs w:val="24"/>
              </w:rPr>
              <w:t>%。</w:t>
            </w:r>
          </w:p>
          <w:p>
            <w:pPr>
              <w:pStyle w:val="4"/>
              <w:adjustRightInd w:val="0"/>
              <w:snapToGrid w:val="0"/>
              <w:spacing w:after="0"/>
              <w:rPr>
                <w:rFonts w:ascii="宋体" w:hAnsi="宋体" w:cs="宋体"/>
                <w:bCs/>
                <w:color w:val="000000"/>
                <w:lang w:val="en-US" w:eastAsia="zh-CN"/>
              </w:rPr>
            </w:pPr>
          </w:p>
          <w:p>
            <w:pPr>
              <w:pStyle w:val="4"/>
              <w:numPr>
                <w:ilvl w:val="0"/>
                <w:numId w:val="1"/>
              </w:numPr>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相关下游市场：2</w:t>
            </w:r>
            <w:r>
              <w:rPr>
                <w:rFonts w:ascii="宋体" w:hAnsi="宋体" w:cs="宋体"/>
                <w:bCs/>
                <w:color w:val="000000"/>
                <w:lang w:eastAsia="zh-CN"/>
              </w:rPr>
              <w:t>020</w:t>
            </w:r>
            <w:r>
              <w:rPr>
                <w:rFonts w:hint="eastAsia" w:ascii="宋体" w:hAnsi="宋体" w:cs="宋体"/>
                <w:bCs/>
                <w:color w:val="000000"/>
                <w:lang w:eastAsia="zh-CN"/>
              </w:rPr>
              <w:t>年</w:t>
            </w:r>
            <w:r>
              <w:rPr>
                <w:rFonts w:hint="eastAsia" w:ascii="宋体" w:hAnsi="宋体" w:cs="宋体"/>
                <w:bCs/>
                <w:color w:val="000000"/>
                <w:lang w:val="en-US" w:eastAsia="zh-CN"/>
              </w:rPr>
              <w:t>中国境内网络零售平台服务市场：</w:t>
            </w:r>
          </w:p>
          <w:p>
            <w:pPr>
              <w:adjustRightInd w:val="0"/>
              <w:snapToGrid w:val="0"/>
              <w:rPr>
                <w:rFonts w:ascii="宋体" w:hAnsi="宋体" w:cs="宋体"/>
                <w:bCs/>
                <w:color w:val="000000"/>
                <w:sz w:val="24"/>
                <w:szCs w:val="24"/>
              </w:rPr>
            </w:pPr>
          </w:p>
          <w:p>
            <w:pPr>
              <w:adjustRightInd w:val="0"/>
              <w:snapToGrid w:val="0"/>
              <w:rPr>
                <w:rFonts w:ascii="宋体" w:hAnsi="宋体" w:cs="宋体"/>
                <w:bCs/>
                <w:color w:val="000000"/>
                <w:kern w:val="0"/>
                <w:sz w:val="24"/>
                <w:szCs w:val="24"/>
                <w:lang w:val="en-GB" w:bidi="ar-AE"/>
              </w:rPr>
            </w:pPr>
            <w:r>
              <w:rPr>
                <w:rFonts w:hint="eastAsia" w:ascii="宋体" w:hAnsi="宋体" w:cs="宋体"/>
                <w:bCs/>
                <w:color w:val="000000"/>
                <w:sz w:val="24"/>
                <w:szCs w:val="24"/>
              </w:rPr>
              <w:t>京东卓风：</w:t>
            </w:r>
            <w:r>
              <w:rPr>
                <w:rFonts w:hint="eastAsia" w:ascii="宋体" w:hAnsi="宋体"/>
                <w:sz w:val="24"/>
                <w:szCs w:val="24"/>
              </w:rPr>
              <w:t>1</w:t>
            </w:r>
            <w:r>
              <w:rPr>
                <w:rFonts w:ascii="宋体" w:hAnsi="宋体"/>
                <w:sz w:val="24"/>
                <w:szCs w:val="24"/>
              </w:rPr>
              <w:t>5-20</w:t>
            </w:r>
            <w:r>
              <w:rPr>
                <w:rFonts w:hint="eastAsia" w:ascii="宋体" w:hAnsi="宋体" w:cs="宋体"/>
                <w:bCs/>
                <w:color w:val="000000"/>
                <w:sz w:val="24"/>
                <w:szCs w:val="24"/>
              </w:rPr>
              <w:t>%；</w:t>
            </w:r>
            <w:r>
              <w:rPr>
                <w:rFonts w:ascii="宋体" w:hAnsi="宋体" w:cs="宋体"/>
                <w:bCs/>
                <w:color w:val="000000"/>
                <w:sz w:val="24"/>
                <w:szCs w:val="24"/>
              </w:rPr>
              <w:t>德邦控股（</w:t>
            </w:r>
            <w:r>
              <w:rPr>
                <w:rFonts w:hint="eastAsia" w:ascii="宋体" w:hAnsi="宋体" w:cs="宋体"/>
                <w:bCs/>
                <w:color w:val="000000"/>
                <w:sz w:val="24"/>
                <w:szCs w:val="24"/>
              </w:rPr>
              <w:t>含德邦股份）：0，双方合计：</w:t>
            </w:r>
            <w:r>
              <w:rPr>
                <w:rFonts w:hint="eastAsia" w:ascii="宋体" w:hAnsi="宋体"/>
                <w:sz w:val="24"/>
                <w:szCs w:val="24"/>
              </w:rPr>
              <w:t>1</w:t>
            </w:r>
            <w:r>
              <w:rPr>
                <w:rFonts w:ascii="宋体" w:hAnsi="宋体"/>
                <w:sz w:val="24"/>
                <w:szCs w:val="24"/>
              </w:rPr>
              <w:t>5-20</w:t>
            </w:r>
            <w:r>
              <w:rPr>
                <w:rFonts w:hint="eastAsia" w:ascii="宋体" w:hAnsi="宋体" w:cs="宋体"/>
                <w:bCs/>
                <w:color w:val="000000"/>
                <w:sz w:val="24"/>
                <w:szCs w:val="24"/>
              </w:rPr>
              <w:t>%</w:t>
            </w:r>
          </w:p>
        </w:tc>
      </w:tr>
    </w:tbl>
    <w:p>
      <w:pPr>
        <w:adjustRightInd w:val="0"/>
        <w:snapToGrid w:val="0"/>
        <w:rPr>
          <w:rFonts w:ascii="Arial" w:hAnsi="Arial" w:eastAsia="楷体_GB2312" w:cs="Arial"/>
          <w:b/>
          <w:color w:val="000000"/>
          <w:kern w:val="0"/>
          <w:sz w:val="22"/>
          <w:lang w:val="en-GB" w:bidi="ar-AE"/>
        </w:rPr>
      </w:pPr>
    </w:p>
    <w:p>
      <w:pPr>
        <w:snapToGrid w:val="0"/>
        <w:ind w:left="420"/>
        <w:rPr>
          <w:rFonts w:eastAsia="仿宋" w:cs="Times New Roman"/>
          <w:b/>
          <w:bCs/>
          <w:color w:val="0000FF"/>
          <w:sz w:val="24"/>
          <w:szCs w:val="24"/>
          <w:highlight w:val="green"/>
        </w:rPr>
      </w:pPr>
    </w:p>
    <w:p>
      <w:pPr>
        <w:snapToGrid w:val="0"/>
        <w:rPr>
          <w:rFonts w:cs="Times New Roman"/>
          <w:b/>
          <w:bCs/>
          <w:color w:val="000000" w:themeColor="text1"/>
          <w:sz w:val="24"/>
          <w:szCs w:val="24"/>
          <w14:textFill>
            <w14:solidFill>
              <w14:schemeClr w14:val="tx1"/>
            </w14:solidFill>
          </w14:textFill>
        </w:rPr>
      </w:pPr>
    </w:p>
    <w:p>
      <w:pPr>
        <w:snapToGrid w:val="0"/>
        <w:ind w:left="420"/>
        <w:rPr>
          <w:rFonts w:cs="Times New Roman"/>
          <w:b/>
          <w:bCs/>
          <w:color w:val="000000" w:themeColor="text1"/>
          <w:sz w:val="24"/>
          <w:szCs w:val="24"/>
          <w14:textFill>
            <w14:solidFill>
              <w14:schemeClr w14:val="tx1"/>
            </w14:solidFill>
          </w14:textFill>
        </w:rPr>
      </w:pPr>
    </w:p>
    <w:p>
      <w:pPr>
        <w:snapToGrid w:val="0"/>
        <w:rPr>
          <w:rFonts w:cs="Times New Roman"/>
          <w:b/>
          <w:bCs/>
          <w:color w:val="000000" w:themeColor="text1"/>
          <w:sz w:val="24"/>
          <w:szCs w:val="24"/>
          <w14:textFill>
            <w14:solidFill>
              <w14:schemeClr w14:val="tx1"/>
            </w14:solidFill>
          </w14:textFill>
        </w:rPr>
      </w:pPr>
    </w:p>
    <w:p/>
    <w:sectPr>
      <w:headerReference r:id="rId3" w:type="default"/>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plified Arabic">
    <w:altName w:val="Times New Roman"/>
    <w:panose1 w:val="00000000000000000000"/>
    <w:charset w:val="B2"/>
    <w:family w:val="roman"/>
    <w:pitch w:val="default"/>
    <w:sig w:usb0="00000000" w:usb1="00000000" w:usb2="00000008" w:usb3="00000000" w:csb0="00000041" w:csb1="00000000"/>
  </w:font>
  <w:font w:name="等线">
    <w:altName w:val="汉仪中宋简"/>
    <w:panose1 w:val="02010600030101010101"/>
    <w:charset w:val="86"/>
    <w:family w:val="auto"/>
    <w:pitch w:val="default"/>
    <w:sig w:usb0="00000000" w:usb1="00000000"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pPr>
      <w:ind w:right="210"/>
      <w:jc w:val="right"/>
      <w:rPr>
        <w:rFonts w:ascii="仿宋" w:hAnsi="仿宋" w:eastAsia="仿宋"/>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605C9D"/>
    <w:multiLevelType w:val="multilevel"/>
    <w:tmpl w:val="2A605C9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true"/>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C09"/>
    <w:rsid w:val="00767FA4"/>
    <w:rsid w:val="009427E6"/>
    <w:rsid w:val="00B20164"/>
    <w:rsid w:val="00F86C09"/>
    <w:rsid w:val="7B7FCFC5"/>
    <w:rsid w:val="7FBF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Salutation"/>
    <w:basedOn w:val="1"/>
    <w:next w:val="1"/>
    <w:link w:val="12"/>
    <w:unhideWhenUsed/>
    <w:qFormat/>
    <w:uiPriority w:val="99"/>
    <w:pPr>
      <w:widowControl w:val="0"/>
      <w:jc w:val="both"/>
    </w:pPr>
    <w:rPr>
      <w:rFonts w:cs="Times New Roman"/>
      <w:sz w:val="24"/>
      <w:szCs w:val="24"/>
    </w:rPr>
  </w:style>
  <w:style w:type="paragraph" w:styleId="3">
    <w:name w:val="Closing"/>
    <w:basedOn w:val="1"/>
    <w:link w:val="13"/>
    <w:unhideWhenUsed/>
    <w:qFormat/>
    <w:uiPriority w:val="99"/>
    <w:pPr>
      <w:widowControl w:val="0"/>
      <w:ind w:left="100" w:leftChars="2100"/>
      <w:jc w:val="both"/>
    </w:pPr>
    <w:rPr>
      <w:rFonts w:cs="Times New Roman"/>
      <w:sz w:val="24"/>
      <w:szCs w:val="24"/>
    </w:rPr>
  </w:style>
  <w:style w:type="paragraph" w:styleId="4">
    <w:name w:val="Body Text"/>
    <w:basedOn w:val="1"/>
    <w:link w:val="16"/>
    <w:unhideWhenUsed/>
    <w:qFormat/>
    <w:uiPriority w:val="0"/>
    <w:pPr>
      <w:spacing w:after="240"/>
      <w:jc w:val="both"/>
    </w:pPr>
    <w:rPr>
      <w:rFonts w:cs="Simplified Arabic"/>
      <w:kern w:val="0"/>
      <w:sz w:val="24"/>
      <w:szCs w:val="24"/>
      <w:lang w:val="en-GB" w:eastAsia="en-GB" w:bidi="ar-AE"/>
    </w:rPr>
  </w:style>
  <w:style w:type="paragraph" w:styleId="5">
    <w:name w:val="footer"/>
    <w:basedOn w:val="1"/>
    <w:link w:val="11"/>
    <w:unhideWhenUsed/>
    <w:qFormat/>
    <w:uiPriority w:val="99"/>
    <w:pPr>
      <w:tabs>
        <w:tab w:val="center" w:pos="4153"/>
        <w:tab w:val="right" w:pos="8306"/>
      </w:tabs>
      <w:snapToGrid w:val="0"/>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rPr>
      <w:rFonts w:asciiTheme="minorHAnsi" w:hAnsiTheme="minorHAnsi"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qFormat/>
    <w:uiPriority w:val="99"/>
    <w:rPr>
      <w:sz w:val="18"/>
      <w:szCs w:val="18"/>
    </w:rPr>
  </w:style>
  <w:style w:type="character" w:customStyle="1" w:styleId="11">
    <w:name w:val="页脚 字符"/>
    <w:basedOn w:val="9"/>
    <w:link w:val="5"/>
    <w:qFormat/>
    <w:uiPriority w:val="99"/>
    <w:rPr>
      <w:sz w:val="18"/>
      <w:szCs w:val="18"/>
    </w:rPr>
  </w:style>
  <w:style w:type="character" w:customStyle="1" w:styleId="12">
    <w:name w:val="称呼 字符"/>
    <w:basedOn w:val="9"/>
    <w:link w:val="2"/>
    <w:qFormat/>
    <w:uiPriority w:val="99"/>
    <w:rPr>
      <w:rFonts w:cs="Times New Roman"/>
      <w:sz w:val="24"/>
      <w:szCs w:val="24"/>
    </w:rPr>
  </w:style>
  <w:style w:type="character" w:customStyle="1" w:styleId="13">
    <w:name w:val="结束语 字符"/>
    <w:basedOn w:val="9"/>
    <w:link w:val="3"/>
    <w:qFormat/>
    <w:uiPriority w:val="99"/>
    <w:rPr>
      <w:rFonts w:cs="Times New Roman"/>
      <w:sz w:val="24"/>
      <w:szCs w:val="24"/>
    </w:rPr>
  </w:style>
  <w:style w:type="paragraph" w:customStyle="1" w:styleId="14">
    <w:name w:val="Signoff"/>
    <w:basedOn w:val="1"/>
    <w:qFormat/>
    <w:uiPriority w:val="0"/>
    <w:rPr>
      <w:rFonts w:ascii="Arial" w:hAnsi="Arial" w:eastAsia="楷体_GB2312" w:cs="Arial"/>
      <w:color w:val="000000"/>
      <w:kern w:val="0"/>
      <w:sz w:val="24"/>
      <w:szCs w:val="30"/>
      <w:lang w:eastAsia="en-US"/>
    </w:rPr>
  </w:style>
  <w:style w:type="paragraph" w:styleId="15">
    <w:name w:val="List Paragraph"/>
    <w:basedOn w:val="1"/>
    <w:qFormat/>
    <w:uiPriority w:val="34"/>
    <w:pPr>
      <w:widowControl w:val="0"/>
      <w:ind w:firstLine="420" w:firstLineChars="200"/>
      <w:jc w:val="both"/>
    </w:pPr>
    <w:rPr>
      <w:rFonts w:asciiTheme="minorHAnsi" w:hAnsiTheme="minorHAnsi" w:eastAsiaTheme="minorEastAsia"/>
    </w:rPr>
  </w:style>
  <w:style w:type="character" w:customStyle="1" w:styleId="16">
    <w:name w:val="正文文本 字符"/>
    <w:basedOn w:val="9"/>
    <w:link w:val="4"/>
    <w:qFormat/>
    <w:uiPriority w:val="0"/>
    <w:rPr>
      <w:rFonts w:cs="Simplified Arabic"/>
      <w:kern w:val="0"/>
      <w:sz w:val="24"/>
      <w:szCs w:val="24"/>
      <w:lang w:val="en-GB" w:eastAsia="en-GB" w:bidi="ar-A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295</Words>
  <Characters>1682</Characters>
  <Lines>14</Lines>
  <Paragraphs>3</Paragraphs>
  <TotalTime>1</TotalTime>
  <ScaleCrop>false</ScaleCrop>
  <LinksUpToDate>false</LinksUpToDate>
  <CharactersWithSpaces>1974</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2022-04-27T20:42:00Z</dcterms:created>
  <dc:creator>Shihui</dc:creator>
  <cp:lastModifiedBy>oa</cp:lastModifiedBy>
  <dcterms:modified xsi:type="dcterms:W3CDTF">2022-04-28T10:29:20Z</dcterms:modified>
  <dc:title>经营者集中简易案件公示表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