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cs="黑体" w:asciiTheme="minorEastAsia" w:hAnsiTheme="minorEastAsia" w:eastAsiaTheme="minorEastAsia"/>
          <w:bCs/>
          <w:sz w:val="36"/>
          <w:szCs w:val="36"/>
        </w:rPr>
      </w:pPr>
      <w:r>
        <w:rPr>
          <w:rFonts w:hint="eastAsia" w:cs="黑体" w:asciiTheme="minorEastAsia" w:hAnsiTheme="minorEastAsia" w:eastAsiaTheme="minorEastAsia"/>
          <w:bCs/>
          <w:sz w:val="36"/>
          <w:szCs w:val="36"/>
        </w:rPr>
        <w:t>经营者集中简易案件公示表</w:t>
      </w:r>
    </w:p>
    <w:tbl>
      <w:tblPr>
        <w:tblStyle w:val="9"/>
        <w:tblW w:w="836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48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t>案件名称</w:t>
            </w:r>
          </w:p>
        </w:tc>
        <w:tc>
          <w:tcPr>
            <w:tcW w:w="6424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</w:rPr>
              <w:t>东京盛世利株式会社收购清洁氢能投资有限公司股权案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6424" w:type="dxa"/>
            <w:gridSpan w:val="2"/>
            <w:vAlign w:val="center"/>
          </w:tcPr>
          <w:p>
            <w:pPr>
              <w:pStyle w:val="2"/>
              <w:spacing w:before="0" w:after="0" w:line="240" w:lineRule="auto"/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伊藤忠株式会社（“伊藤忠”）与东京盛世利株式会社（“东京盛世利”）签署协议，东京盛世利拟收购清洁氢能投资有限公司（“合营企业”）部分股权。合营企业的主营业务为股权投资，将仅持有</w:t>
            </w:r>
            <w:r>
              <w:rPr>
                <w:rFonts w:hint="eastAsia"/>
                <w:b w:val="0"/>
                <w:bCs/>
                <w:sz w:val="24"/>
                <w:szCs w:val="24"/>
                <w:lang w:eastAsia="zh-CN"/>
              </w:rPr>
              <w:t>某</w:t>
            </w:r>
            <w:r>
              <w:rPr>
                <w:rFonts w:hint="eastAsia"/>
                <w:b w:val="0"/>
                <w:bCs/>
                <w:sz w:val="24"/>
                <w:szCs w:val="24"/>
              </w:rPr>
              <w:t>法国基金的有限合伙份额以获得财务回报。交易前，伊藤忠单独控制合营企业。交易</w:t>
            </w:r>
            <w:bookmarkStart w:id="0" w:name="_GoBack"/>
            <w:bookmarkEnd w:id="0"/>
            <w:r>
              <w:rPr>
                <w:rFonts w:hint="eastAsia"/>
                <w:b w:val="0"/>
                <w:bCs/>
                <w:sz w:val="24"/>
                <w:szCs w:val="24"/>
              </w:rPr>
              <w:t>后，伊藤忠及东京盛世利将共同控制合营企业。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100字以内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伊藤忠</w:t>
            </w:r>
          </w:p>
        </w:tc>
        <w:tc>
          <w:tcPr>
            <w:tcW w:w="4817" w:type="dxa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伊藤忠于1949年12月1日在日本东京成立，是一家在东京证券交易所上市的公司，无最终控制人。伊藤忠是一家日本的综合商社，所涉业务领域广泛，包括各类产品的进出口业务，如纺织品、钢铁和其他金属产品、工业机械、电子产品、信息和通讯相关产品、与油和其他能源资源有关的产品、化学物品、粮食、食品和金融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东京盛世利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</w:tc>
        <w:tc>
          <w:tcPr>
            <w:tcW w:w="4817" w:type="dxa"/>
            <w:vAlign w:val="center"/>
          </w:tcPr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  <w:lang w:bidi="ar-AE"/>
              </w:rPr>
              <w:t>东京盛世利于1969年7月1日在日本东京成立，是一家在东京证券交易所上市的公司，东京盛世利无最终控制人。东京盛世利集团主要有以下业务：</w:t>
            </w:r>
          </w:p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  <w:lang w:bidi="ar-AE"/>
              </w:rPr>
              <w:t>•</w:t>
            </w: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  <w:lang w:bidi="ar-AE"/>
              </w:rPr>
              <w:tab/>
            </w: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  <w:lang w:bidi="ar-AE"/>
              </w:rPr>
              <w:t>设备租赁业务，为信息和通信设备、办公设备、工厂设备、工程机械、商业设备等各类设备和机械提供融资服务。</w:t>
            </w:r>
          </w:p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  <w:lang w:bidi="ar-AE"/>
              </w:rPr>
              <w:t>•</w:t>
            </w: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  <w:lang w:bidi="ar-AE"/>
              </w:rPr>
              <w:tab/>
            </w: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  <w:lang w:bidi="ar-AE"/>
              </w:rPr>
              <w:t>移动与车队管理业务，为企业客户和个人提供汽车租赁服务。</w:t>
            </w:r>
          </w:p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  <w:lang w:bidi="ar-AE"/>
              </w:rPr>
              <w:t>•</w:t>
            </w: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  <w:lang w:bidi="ar-AE"/>
              </w:rPr>
              <w:tab/>
            </w: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  <w:lang w:bidi="ar-AE"/>
              </w:rPr>
              <w:t>专业融资业务，为航运、航空、环境与能源、房地产、结构性金融等领域提供融资服务。</w:t>
            </w:r>
          </w:p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  <w:lang w:bidi="ar-AE"/>
              </w:rPr>
              <w:t>•</w:t>
            </w: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  <w:lang w:bidi="ar-AE"/>
              </w:rPr>
              <w:tab/>
            </w: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  <w:lang w:bidi="ar-AE"/>
              </w:rPr>
              <w:t>国际业务。</w:t>
            </w:r>
          </w:p>
          <w:p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6424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6424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6424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6424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6424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6424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6424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</w:p>
        </w:tc>
      </w:tr>
    </w:tbl>
    <w:p>
      <w:pPr>
        <w:spacing w:line="360" w:lineRule="auto"/>
        <w:rPr>
          <w:rFonts w:ascii="Times New Roman" w:hAnsi="Times New Roman"/>
          <w:sz w:val="22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implified Arabic">
    <w:panose1 w:val="02020603050405020304"/>
    <w:charset w:val="B2"/>
    <w:family w:val="roman"/>
    <w:pitch w:val="default"/>
    <w:sig w:usb0="00002003" w:usb1="00000000" w:usb2="00000000" w:usb3="00000000" w:csb0="00000041" w:csb1="2008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tabs>
        <w:tab w:val="center" w:pos="4536"/>
        <w:tab w:val="right" w:pos="9072"/>
        <w:tab w:val="clear" w:pos="4153"/>
        <w:tab w:val="clear" w:pos="8306"/>
      </w:tabs>
      <w:jc w:val="both"/>
      <w:rPr>
        <w:sz w:val="16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50DF9"/>
    <w:rsid w:val="00057B37"/>
    <w:rsid w:val="00066E1C"/>
    <w:rsid w:val="000744B1"/>
    <w:rsid w:val="00075E90"/>
    <w:rsid w:val="00094095"/>
    <w:rsid w:val="000A02A2"/>
    <w:rsid w:val="000A3CA7"/>
    <w:rsid w:val="000A41DF"/>
    <w:rsid w:val="000D4026"/>
    <w:rsid w:val="000E7FC9"/>
    <w:rsid w:val="00100831"/>
    <w:rsid w:val="00100B60"/>
    <w:rsid w:val="0011005F"/>
    <w:rsid w:val="001156DD"/>
    <w:rsid w:val="001214FB"/>
    <w:rsid w:val="00140AB6"/>
    <w:rsid w:val="00143C4F"/>
    <w:rsid w:val="0016064F"/>
    <w:rsid w:val="001A001B"/>
    <w:rsid w:val="001A670A"/>
    <w:rsid w:val="001C59F2"/>
    <w:rsid w:val="001D4449"/>
    <w:rsid w:val="001D4ADD"/>
    <w:rsid w:val="001E0A66"/>
    <w:rsid w:val="001E618E"/>
    <w:rsid w:val="0020313A"/>
    <w:rsid w:val="002158DC"/>
    <w:rsid w:val="00230312"/>
    <w:rsid w:val="00244D10"/>
    <w:rsid w:val="00245776"/>
    <w:rsid w:val="00247F88"/>
    <w:rsid w:val="00262658"/>
    <w:rsid w:val="002655A2"/>
    <w:rsid w:val="002A0309"/>
    <w:rsid w:val="002A410C"/>
    <w:rsid w:val="002B399F"/>
    <w:rsid w:val="002C1CD9"/>
    <w:rsid w:val="002E2C9F"/>
    <w:rsid w:val="002F2D60"/>
    <w:rsid w:val="00307976"/>
    <w:rsid w:val="003145BC"/>
    <w:rsid w:val="00347868"/>
    <w:rsid w:val="00373110"/>
    <w:rsid w:val="00386653"/>
    <w:rsid w:val="003B72B2"/>
    <w:rsid w:val="003C5C55"/>
    <w:rsid w:val="003D0FE2"/>
    <w:rsid w:val="003D54A0"/>
    <w:rsid w:val="003D7CD9"/>
    <w:rsid w:val="003E1F7B"/>
    <w:rsid w:val="004030E1"/>
    <w:rsid w:val="0040736C"/>
    <w:rsid w:val="00413A4D"/>
    <w:rsid w:val="00417374"/>
    <w:rsid w:val="00461D9D"/>
    <w:rsid w:val="00462174"/>
    <w:rsid w:val="004A30CC"/>
    <w:rsid w:val="004C4DB5"/>
    <w:rsid w:val="004C6CA1"/>
    <w:rsid w:val="004F29A9"/>
    <w:rsid w:val="00503AD6"/>
    <w:rsid w:val="00532B81"/>
    <w:rsid w:val="00540FD5"/>
    <w:rsid w:val="00544421"/>
    <w:rsid w:val="005636FE"/>
    <w:rsid w:val="00566BDF"/>
    <w:rsid w:val="00576510"/>
    <w:rsid w:val="00576872"/>
    <w:rsid w:val="0058359C"/>
    <w:rsid w:val="005A3F0D"/>
    <w:rsid w:val="005C1DE0"/>
    <w:rsid w:val="005C25F5"/>
    <w:rsid w:val="005F167B"/>
    <w:rsid w:val="006300C0"/>
    <w:rsid w:val="00664179"/>
    <w:rsid w:val="00667DFA"/>
    <w:rsid w:val="006A4F76"/>
    <w:rsid w:val="006A5728"/>
    <w:rsid w:val="006F2EDC"/>
    <w:rsid w:val="007044D3"/>
    <w:rsid w:val="0070513C"/>
    <w:rsid w:val="007130D3"/>
    <w:rsid w:val="00720299"/>
    <w:rsid w:val="0074432D"/>
    <w:rsid w:val="00767C8A"/>
    <w:rsid w:val="007A11F4"/>
    <w:rsid w:val="007A25FF"/>
    <w:rsid w:val="007C7803"/>
    <w:rsid w:val="007F67EF"/>
    <w:rsid w:val="0080386C"/>
    <w:rsid w:val="00824B5F"/>
    <w:rsid w:val="00826BFB"/>
    <w:rsid w:val="00827300"/>
    <w:rsid w:val="00830313"/>
    <w:rsid w:val="0089745C"/>
    <w:rsid w:val="008C1C6C"/>
    <w:rsid w:val="008D0251"/>
    <w:rsid w:val="008D116D"/>
    <w:rsid w:val="008E6608"/>
    <w:rsid w:val="008F634B"/>
    <w:rsid w:val="00930521"/>
    <w:rsid w:val="00936380"/>
    <w:rsid w:val="0095347A"/>
    <w:rsid w:val="00960DD0"/>
    <w:rsid w:val="009A7806"/>
    <w:rsid w:val="009B2230"/>
    <w:rsid w:val="009C24F4"/>
    <w:rsid w:val="009C5ACB"/>
    <w:rsid w:val="009D130E"/>
    <w:rsid w:val="00A11188"/>
    <w:rsid w:val="00A253FD"/>
    <w:rsid w:val="00A339CA"/>
    <w:rsid w:val="00A4006B"/>
    <w:rsid w:val="00A43A3E"/>
    <w:rsid w:val="00A760A6"/>
    <w:rsid w:val="00A77BD3"/>
    <w:rsid w:val="00A87E78"/>
    <w:rsid w:val="00AA4E7B"/>
    <w:rsid w:val="00AA6407"/>
    <w:rsid w:val="00AD254C"/>
    <w:rsid w:val="00AF28D5"/>
    <w:rsid w:val="00B04C39"/>
    <w:rsid w:val="00B15DD8"/>
    <w:rsid w:val="00B344A3"/>
    <w:rsid w:val="00B41560"/>
    <w:rsid w:val="00B913F0"/>
    <w:rsid w:val="00BA0750"/>
    <w:rsid w:val="00BA7437"/>
    <w:rsid w:val="00BB2377"/>
    <w:rsid w:val="00BC4403"/>
    <w:rsid w:val="00BD3D34"/>
    <w:rsid w:val="00BE42C3"/>
    <w:rsid w:val="00BF1314"/>
    <w:rsid w:val="00C171D5"/>
    <w:rsid w:val="00C33A8D"/>
    <w:rsid w:val="00C400CC"/>
    <w:rsid w:val="00C42F7D"/>
    <w:rsid w:val="00C570AE"/>
    <w:rsid w:val="00C61F1E"/>
    <w:rsid w:val="00C76979"/>
    <w:rsid w:val="00C823D6"/>
    <w:rsid w:val="00C9068E"/>
    <w:rsid w:val="00CA4682"/>
    <w:rsid w:val="00CC2BEC"/>
    <w:rsid w:val="00CE6A2B"/>
    <w:rsid w:val="00D001A9"/>
    <w:rsid w:val="00D21777"/>
    <w:rsid w:val="00D231A4"/>
    <w:rsid w:val="00D451A4"/>
    <w:rsid w:val="00D515E7"/>
    <w:rsid w:val="00D62CD9"/>
    <w:rsid w:val="00D81066"/>
    <w:rsid w:val="00D85B85"/>
    <w:rsid w:val="00D9178C"/>
    <w:rsid w:val="00D92F4D"/>
    <w:rsid w:val="00DB4FFD"/>
    <w:rsid w:val="00DD0ACA"/>
    <w:rsid w:val="00DF3F21"/>
    <w:rsid w:val="00E11C0D"/>
    <w:rsid w:val="00E12078"/>
    <w:rsid w:val="00E2619D"/>
    <w:rsid w:val="00E32A0C"/>
    <w:rsid w:val="00E46561"/>
    <w:rsid w:val="00E50507"/>
    <w:rsid w:val="00E52B09"/>
    <w:rsid w:val="00E63BB9"/>
    <w:rsid w:val="00E94C57"/>
    <w:rsid w:val="00E969E6"/>
    <w:rsid w:val="00EB0EE6"/>
    <w:rsid w:val="00EB1CC4"/>
    <w:rsid w:val="00EB2703"/>
    <w:rsid w:val="00EB6C72"/>
    <w:rsid w:val="00ED21B1"/>
    <w:rsid w:val="00EE2784"/>
    <w:rsid w:val="00EF290C"/>
    <w:rsid w:val="00F07CDF"/>
    <w:rsid w:val="00F16269"/>
    <w:rsid w:val="00F5086B"/>
    <w:rsid w:val="00F55662"/>
    <w:rsid w:val="00F87C1F"/>
    <w:rsid w:val="00FB2A66"/>
    <w:rsid w:val="00FB319E"/>
    <w:rsid w:val="00FC4002"/>
    <w:rsid w:val="00FE4CAC"/>
    <w:rsid w:val="00FF6660"/>
    <w:rsid w:val="5586567F"/>
    <w:rsid w:val="6A0B7EA6"/>
    <w:rsid w:val="7CDFCCD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paragraph" w:styleId="4">
    <w:name w:val="endnote text"/>
    <w:basedOn w:val="1"/>
    <w:link w:val="14"/>
    <w:semiHidden/>
    <w:unhideWhenUsed/>
    <w:qFormat/>
    <w:uiPriority w:val="99"/>
    <w:pPr>
      <w:snapToGrid w:val="0"/>
      <w:jc w:val="left"/>
    </w:pPr>
  </w:style>
  <w:style w:type="paragraph" w:styleId="5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footnote text"/>
    <w:basedOn w:val="1"/>
    <w:link w:val="20"/>
    <w:qFormat/>
    <w:uiPriority w:val="0"/>
    <w:pPr>
      <w:snapToGrid w:val="0"/>
      <w:jc w:val="left"/>
    </w:pPr>
    <w:rPr>
      <w:rFonts w:ascii="Times New Roman" w:hAnsi="Times New Roman" w:eastAsia="PMingLiU"/>
      <w:sz w:val="20"/>
      <w:szCs w:val="20"/>
      <w:lang w:eastAsia="zh-TW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endnote reference"/>
    <w:semiHidden/>
    <w:unhideWhenUsed/>
    <w:qFormat/>
    <w:uiPriority w:val="99"/>
    <w:rPr>
      <w:vertAlign w:val="superscript"/>
    </w:rPr>
  </w:style>
  <w:style w:type="character" w:styleId="13">
    <w:name w:val="footnote reference"/>
    <w:qFormat/>
    <w:uiPriority w:val="0"/>
    <w:rPr>
      <w:vertAlign w:val="superscript"/>
    </w:rPr>
  </w:style>
  <w:style w:type="character" w:customStyle="1" w:styleId="14">
    <w:name w:val="Endnote Text Char"/>
    <w:basedOn w:val="11"/>
    <w:link w:val="4"/>
    <w:semiHidden/>
    <w:qFormat/>
    <w:uiPriority w:val="99"/>
  </w:style>
  <w:style w:type="character" w:customStyle="1" w:styleId="15">
    <w:name w:val="Header Char"/>
    <w:link w:val="7"/>
    <w:qFormat/>
    <w:uiPriority w:val="99"/>
    <w:rPr>
      <w:sz w:val="18"/>
      <w:szCs w:val="18"/>
    </w:rPr>
  </w:style>
  <w:style w:type="character" w:customStyle="1" w:styleId="16">
    <w:name w:val="Footer Char"/>
    <w:link w:val="6"/>
    <w:qFormat/>
    <w:uiPriority w:val="99"/>
    <w:rPr>
      <w:sz w:val="18"/>
      <w:szCs w:val="18"/>
    </w:rPr>
  </w:style>
  <w:style w:type="character" w:customStyle="1" w:styleId="17">
    <w:name w:val="Balloon Text Char"/>
    <w:link w:val="5"/>
    <w:semiHidden/>
    <w:qFormat/>
    <w:uiPriority w:val="99"/>
    <w:rPr>
      <w:kern w:val="2"/>
      <w:sz w:val="18"/>
      <w:szCs w:val="18"/>
    </w:rPr>
  </w:style>
  <w:style w:type="paragraph" w:customStyle="1" w:styleId="18">
    <w:name w:val="列出段落1"/>
    <w:basedOn w:val="1"/>
    <w:qFormat/>
    <w:uiPriority w:val="34"/>
    <w:pPr>
      <w:ind w:firstLine="420" w:firstLineChars="200"/>
    </w:p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Footnote Text Char"/>
    <w:link w:val="8"/>
    <w:qFormat/>
    <w:uiPriority w:val="0"/>
    <w:rPr>
      <w:rFonts w:ascii="Times New Roman" w:hAnsi="Times New Roman" w:eastAsia="PMingLiU"/>
      <w:kern w:val="2"/>
      <w:lang w:eastAsia="zh-TW"/>
    </w:rPr>
  </w:style>
  <w:style w:type="character" w:customStyle="1" w:styleId="21">
    <w:name w:val="Body 1 Char"/>
    <w:link w:val="22"/>
    <w:qFormat/>
    <w:locked/>
    <w:uiPriority w:val="0"/>
    <w:rPr>
      <w:kern w:val="2"/>
      <w:szCs w:val="24"/>
    </w:rPr>
  </w:style>
  <w:style w:type="paragraph" w:customStyle="1" w:styleId="22">
    <w:name w:val="Body 1"/>
    <w:basedOn w:val="1"/>
    <w:link w:val="21"/>
    <w:qFormat/>
    <w:uiPriority w:val="0"/>
    <w:pPr>
      <w:spacing w:after="210"/>
    </w:pPr>
    <w:rPr>
      <w:sz w:val="20"/>
      <w:szCs w:val="24"/>
    </w:rPr>
  </w:style>
  <w:style w:type="character" w:customStyle="1" w:styleId="23">
    <w:name w:val="Body Text Char"/>
    <w:basedOn w:val="11"/>
    <w:link w:val="3"/>
    <w:qFormat/>
    <w:uiPriority w:val="0"/>
    <w:rPr>
      <w:rFonts w:ascii="Times New Roman" w:hAnsi="Times New Roman" w:cs="Simplified Arabic"/>
      <w:sz w:val="24"/>
      <w:szCs w:val="24"/>
      <w:lang w:eastAsia="en-GB" w:bidi="ar-A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HSF">
  <a:themeElements>
    <a:clrScheme name="HSF Brand">
      <a:dk1>
        <a:sysClr val="windowText" lastClr="000000"/>
      </a:dk1>
      <a:lt1>
        <a:sysClr val="window" lastClr="FFFFFF"/>
      </a:lt1>
      <a:dk2>
        <a:srgbClr val="1C3E78"/>
      </a:dk2>
      <a:lt2>
        <a:srgbClr val="A4A6A8"/>
      </a:lt2>
      <a:accent1>
        <a:srgbClr val="1C3E78"/>
      </a:accent1>
      <a:accent2>
        <a:srgbClr val="40AAB8"/>
      </a:accent2>
      <a:accent3>
        <a:srgbClr val="FFC72C"/>
      </a:accent3>
      <a:accent4>
        <a:srgbClr val="A24381"/>
      </a:accent4>
      <a:accent5>
        <a:srgbClr val="235BA8"/>
      </a:accent5>
      <a:accent6>
        <a:srgbClr val="F65058"/>
      </a:accent6>
      <a:hlink>
        <a:srgbClr val="235BA8"/>
      </a:hlink>
      <a:folHlink>
        <a:srgbClr val="A4A6A8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djacency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9525">
          <a:noFill/>
        </a:ln>
      </a:spPr>
      <a:bodyPr lIns="72000" tIns="72000" rIns="72000" bIns="72000"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>
          <a:noFill/>
        </a:ln>
      </a:spPr>
      <a:bodyPr wrap="square" lIns="72000" tIns="72000" rIns="72000" bIns="72000" rtlCol="0" anchor="t" anchorCtr="0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Sinobridge</Company>
  <Pages>2</Pages>
  <Words>134</Words>
  <Characters>764</Characters>
  <Lines>6</Lines>
  <Paragraphs>1</Paragraphs>
  <TotalTime>30</TotalTime>
  <ScaleCrop>false</ScaleCrop>
  <LinksUpToDate>false</LinksUpToDate>
  <CharactersWithSpaces>897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2022-03-28T16:39:00Z</dcterms:created>
  <dc:creator>dell</dc:creator>
  <cp:lastModifiedBy>袁振</cp:lastModifiedBy>
  <cp:lastPrinted>2017-01-18T15:04:00Z</cp:lastPrinted>
  <dcterms:modified xsi:type="dcterms:W3CDTF">2022-04-22T04:52:38Z</dcterms:modified>
  <dc:title>经营者集中简易案件公示表</dc:title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dFooter">
    <vt:lpwstr>True</vt:lpwstr>
  </property>
  <property fmtid="{D5CDD505-2E9C-101B-9397-08002B2CF9AE}" pid="3" name="FooterType">
    <vt:lpwstr>Doc ID and firm name</vt:lpwstr>
  </property>
  <property fmtid="{D5CDD505-2E9C-101B-9397-08002B2CF9AE}" pid="4" name="KSOProductBuildVer">
    <vt:lpwstr>2052-11.8.2.10393</vt:lpwstr>
  </property>
</Properties>
</file>