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jc w:val="center"/>
        <w:rPr>
          <w:rFonts w:ascii="黑体" w:hAnsi="黑体" w:eastAsia="黑体"/>
          <w:b/>
          <w:bCs/>
          <w:sz w:val="36"/>
          <w:szCs w:val="36"/>
        </w:rPr>
      </w:pPr>
      <w:r>
        <w:rPr>
          <w:rFonts w:hint="eastAsia" w:ascii="黑体" w:hAnsi="黑体" w:eastAsia="黑体"/>
          <w:b/>
          <w:bCs/>
          <w:sz w:val="36"/>
          <w:szCs w:val="36"/>
        </w:rPr>
        <w:t>经营者集中简易案件公示表</w:t>
      </w:r>
    </w:p>
    <w:p>
      <w:pPr>
        <w:snapToGrid w:val="0"/>
        <w:spacing w:line="340" w:lineRule="exact"/>
        <w:rPr>
          <w:rFonts w:ascii="Times" w:hAnsi="Times"/>
          <w:sz w:val="24"/>
          <w:szCs w:val="24"/>
        </w:rPr>
      </w:pPr>
    </w:p>
    <w:tbl>
      <w:tblPr>
        <w:tblStyle w:val="6"/>
        <w:tblW w:w="8648" w:type="dxa"/>
        <w:tblInd w:w="-2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6"/>
        <w:gridCol w:w="1283"/>
        <w:gridCol w:w="58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shd w:val="clear" w:color="auto" w:fill="D9D9D9"/>
          </w:tcPr>
          <w:p>
            <w:pPr>
              <w:snapToGrid w:val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案件名称</w:t>
            </w:r>
          </w:p>
        </w:tc>
        <w:tc>
          <w:tcPr>
            <w:tcW w:w="7088" w:type="dxa"/>
            <w:gridSpan w:val="2"/>
            <w:vAlign w:val="center"/>
          </w:tcPr>
          <w:p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安大略省教师退休基金会委员会收购OSW Investments Rampion JVCo (UK) Limited等14家公司股权案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93" w:hRule="atLeast"/>
        </w:trPr>
        <w:tc>
          <w:tcPr>
            <w:tcW w:w="1560" w:type="dxa"/>
            <w:shd w:val="clear" w:color="auto" w:fill="D9D9D9"/>
          </w:tcPr>
          <w:p>
            <w:pPr>
              <w:snapToGrid w:val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交易概况（限200字内）</w:t>
            </w:r>
          </w:p>
        </w:tc>
        <w:tc>
          <w:tcPr>
            <w:tcW w:w="7088" w:type="dxa"/>
            <w:gridSpan w:val="2"/>
          </w:tcPr>
          <w:p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安大略省教师退休基金会委员会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（“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OTPP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”）</w:t>
            </w:r>
            <w:r>
              <w:rPr>
                <w:rFonts w:ascii="Times New Roman" w:hAnsi="Times New Roman"/>
                <w:sz w:val="24"/>
                <w:szCs w:val="24"/>
              </w:rPr>
              <w:t>通过其关联实体与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Corio Generation Limited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(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“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Corio Generation</w:t>
            </w:r>
            <w:r>
              <w:rPr>
                <w:rFonts w:hint="eastAsia" w:ascii="Times New Roman" w:hAnsi="Times New Roman"/>
                <w:bCs/>
                <w:sz w:val="24"/>
                <w:szCs w:val="24"/>
              </w:rPr>
              <w:t>”</w:t>
            </w:r>
            <w:r>
              <w:rPr>
                <w:rFonts w:ascii="Times New Roman" w:hAnsi="Times New Roman"/>
                <w:sz w:val="24"/>
                <w:szCs w:val="24"/>
              </w:rPr>
              <w:t>，原名为GIG OSW Investments Limited</w:t>
            </w:r>
            <w:r>
              <w:rPr>
                <w:rFonts w:hint="eastAsia" w:ascii="Times New Roman" w:hAnsi="Times New Roman"/>
                <w:sz w:val="24"/>
                <w:szCs w:val="24"/>
              </w:rPr>
              <w:t>）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签订协</w:t>
            </w:r>
            <w:r>
              <w:rPr>
                <w:rFonts w:ascii="Times New Roman" w:hAnsi="Times New Roman"/>
                <w:sz w:val="24"/>
                <w:szCs w:val="24"/>
              </w:rPr>
              <w:t>议，收购</w:t>
            </w:r>
            <w:r>
              <w:rPr>
                <w:rFonts w:hint="eastAsia"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4</w:t>
            </w:r>
            <w:r>
              <w:rPr>
                <w:rFonts w:hint="eastAsia" w:ascii="Times New Roman" w:hAnsi="Times New Roman"/>
                <w:sz w:val="24"/>
                <w:szCs w:val="24"/>
              </w:rPr>
              <w:t>家</w:t>
            </w:r>
            <w:r>
              <w:rPr>
                <w:rFonts w:ascii="Times New Roman" w:hAnsi="Times New Roman"/>
                <w:sz w:val="24"/>
                <w:szCs w:val="24"/>
              </w:rPr>
              <w:t>控股公司（</w:t>
            </w:r>
            <w:r>
              <w:rPr>
                <w:rFonts w:hint="eastAsia" w:ascii="Times New Roman" w:hAnsi="Times New Roman"/>
                <w:sz w:val="24"/>
                <w:szCs w:val="24"/>
              </w:rPr>
              <w:t>合称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“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控股公司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”）</w:t>
            </w:r>
            <w:r>
              <w:rPr>
                <w:rFonts w:ascii="Times New Roman" w:hAnsi="Times New Roman"/>
                <w:sz w:val="24"/>
                <w:szCs w:val="24"/>
              </w:rPr>
              <w:t>介于34%到64%之间的股权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（“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本次交易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”）</w:t>
            </w:r>
            <w:r>
              <w:rPr>
                <w:rFonts w:ascii="Times New Roman" w:hAnsi="Times New Roman"/>
                <w:sz w:val="24"/>
                <w:szCs w:val="24"/>
              </w:rPr>
              <w:t>。</w:t>
            </w:r>
          </w:p>
          <w:p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控股公司由麦格理集团有限公司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（“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麦格理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”</w:t>
            </w:r>
            <w:r>
              <w:rPr>
                <w:rFonts w:ascii="Times New Roman" w:hAnsi="Times New Roman"/>
                <w:sz w:val="24"/>
                <w:szCs w:val="24"/>
              </w:rPr>
              <w:t>，Corio Generation的最终控制人）成立，以持有其在英国、爱尔兰、日本、韩国和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中国</w:t>
            </w:r>
            <w:r>
              <w:rPr>
                <w:rFonts w:ascii="Times New Roman" w:hAnsi="Times New Roman"/>
                <w:sz w:val="24"/>
                <w:szCs w:val="24"/>
              </w:rPr>
              <w:t>台湾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地区</w:t>
            </w:r>
            <w:bookmarkStart w:id="0" w:name="_GoBack"/>
            <w:bookmarkEnd w:id="0"/>
            <w:r>
              <w:rPr>
                <w:rFonts w:ascii="Times New Roman" w:hAnsi="Times New Roman"/>
                <w:sz w:val="24"/>
                <w:szCs w:val="24"/>
              </w:rPr>
              <w:t>的海上风电业务中的现有投资</w:t>
            </w:r>
            <w:r>
              <w:rPr>
                <w:rFonts w:hint="eastAsia" w:ascii="Times New Roman" w:hAnsi="Times New Roman"/>
                <w:sz w:val="24"/>
                <w:szCs w:val="24"/>
              </w:rPr>
              <w:t>权益</w:t>
            </w:r>
            <w:r>
              <w:rPr>
                <w:rFonts w:ascii="Times New Roman" w:hAnsi="Times New Roman"/>
                <w:sz w:val="24"/>
                <w:szCs w:val="24"/>
              </w:rPr>
              <w:t>。控股公司在中国没有任何商业活动。</w:t>
            </w:r>
          </w:p>
          <w:p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交易前，麦格理间接持有控股公司100%的股权。交易后，OTPP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(通</w:t>
            </w:r>
            <w:r>
              <w:rPr>
                <w:rFonts w:ascii="Times New Roman" w:hAnsi="Times New Roman"/>
                <w:sz w:val="24"/>
                <w:szCs w:val="24"/>
              </w:rPr>
              <w:t>过其关联实体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)将</w:t>
            </w:r>
            <w:r>
              <w:rPr>
                <w:rFonts w:ascii="Times New Roman" w:hAnsi="Times New Roman"/>
                <w:sz w:val="24"/>
                <w:szCs w:val="24"/>
              </w:rPr>
              <w:t>持有控股公司介于34%到64%之间的股权，并且与麦格理（通过Corio Generation）在反垄断法意义上共同控制控股公司。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560" w:type="dxa"/>
            <w:vMerge w:val="restart"/>
            <w:shd w:val="clear" w:color="auto" w:fill="D9D9D9"/>
          </w:tcPr>
          <w:p>
            <w:pPr>
              <w:snapToGrid w:val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1270" w:type="dxa"/>
          </w:tcPr>
          <w:p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1、OTPP</w:t>
            </w:r>
          </w:p>
        </w:tc>
        <w:tc>
          <w:tcPr>
            <w:tcW w:w="5818" w:type="dxa"/>
          </w:tcPr>
          <w:p>
            <w:pPr>
              <w:snapToGrid w:val="0"/>
              <w:rPr>
                <w:rFonts w:ascii="Times New Roman" w:hAnsi="Times New Roman" w:eastAsiaTheme="minorEastAsia"/>
                <w:sz w:val="24"/>
                <w:szCs w:val="24"/>
              </w:rPr>
            </w:pPr>
            <w:r>
              <w:rPr>
                <w:rFonts w:ascii="Times New Roman" w:hAnsi="Times New Roman" w:eastAsiaTheme="minorEastAsia"/>
                <w:sz w:val="24"/>
                <w:szCs w:val="24"/>
              </w:rPr>
              <w:t>OTPP于1990年1月1日成立于加拿大。OTPP负责代表安大略省约333,000名在任和退休教师管理退休金福利和退休金计划资产的投资。</w:t>
            </w:r>
          </w:p>
          <w:p>
            <w:pPr>
              <w:snapToGrid w:val="0"/>
              <w:rPr>
                <w:rFonts w:ascii="Times New Roman" w:hAnsi="Times New Roman" w:eastAsiaTheme="minorEastAsia"/>
                <w:sz w:val="24"/>
                <w:szCs w:val="24"/>
              </w:rPr>
            </w:pPr>
            <w:r>
              <w:rPr>
                <w:rFonts w:ascii="Times New Roman" w:hAnsi="Times New Roman" w:eastAsiaTheme="minorEastAsia"/>
                <w:sz w:val="24"/>
                <w:szCs w:val="24"/>
                <w:lang w:val="en-GB"/>
              </w:rPr>
              <w:t>OTPP</w:t>
            </w:r>
            <w:r>
              <w:rPr>
                <w:rFonts w:ascii="Times New Roman" w:hAnsi="Times New Roman" w:eastAsiaTheme="minorEastAsia"/>
                <w:sz w:val="24"/>
                <w:szCs w:val="24"/>
              </w:rPr>
              <w:t>无最终控制人。有关OTPP</w:t>
            </w:r>
            <w:r>
              <w:rPr>
                <w:rFonts w:ascii="Times New Roman" w:hAnsi="Times New Roman" w:eastAsiaTheme="minorEastAsia"/>
                <w:sz w:val="24"/>
                <w:szCs w:val="24"/>
                <w:lang w:val="en-GB"/>
              </w:rPr>
              <w:t>的详细信息请参见</w:t>
            </w:r>
            <w:r>
              <w:rPr>
                <w:rFonts w:ascii="Times New Roman" w:hAnsi="Times New Roman" w:eastAsiaTheme="minorEastAsia"/>
                <w:kern w:val="0"/>
                <w:sz w:val="24"/>
                <w:szCs w:val="24"/>
              </w:rPr>
              <w:t>http://www.otpp.com/</w:t>
            </w:r>
            <w:r>
              <w:rPr>
                <w:rFonts w:ascii="Times New Roman" w:hAnsi="Times New Roman" w:eastAsiaTheme="minorEastAsia"/>
                <w:sz w:val="24"/>
                <w:szCs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560" w:type="dxa"/>
            <w:vMerge w:val="continue"/>
            <w:shd w:val="clear" w:color="auto" w:fill="D9D9D9"/>
          </w:tcPr>
          <w:p>
            <w:pPr>
              <w:snapToGrid w:val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70" w:type="dxa"/>
          </w:tcPr>
          <w:p>
            <w:pPr>
              <w:snapToGrid w:val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2、</w:t>
            </w:r>
            <w:r>
              <w:rPr>
                <w:rFonts w:ascii="Times New Roman" w:hAnsi="Times New Roman"/>
                <w:sz w:val="24"/>
                <w:szCs w:val="24"/>
                <w:lang w:val="en-GB"/>
              </w:rPr>
              <w:t>Corio Generation</w:t>
            </w:r>
          </w:p>
        </w:tc>
        <w:tc>
          <w:tcPr>
            <w:tcW w:w="5818" w:type="dxa"/>
          </w:tcPr>
          <w:p>
            <w:pPr>
              <w:snapToGrid w:val="0"/>
              <w:rPr>
                <w:rFonts w:ascii="Times New Roman" w:hAnsi="Times New Roman" w:eastAsiaTheme="minorEastAsia"/>
                <w:sz w:val="24"/>
                <w:szCs w:val="24"/>
              </w:rPr>
            </w:pPr>
            <w:r>
              <w:rPr>
                <w:rFonts w:ascii="Times New Roman" w:hAnsi="Times New Roman" w:eastAsiaTheme="minorEastAsia"/>
                <w:sz w:val="24"/>
                <w:szCs w:val="24"/>
              </w:rPr>
              <w:t>Corio Generation于2021年11月1日成立于英国。Corio Generation的业务是发起、开发、管理和建设海上风电项目。</w:t>
            </w:r>
          </w:p>
          <w:p>
            <w:pPr>
              <w:snapToGrid w:val="0"/>
              <w:rPr>
                <w:rFonts w:ascii="Times New Roman" w:hAnsi="Times New Roman" w:eastAsiaTheme="minorEastAsia"/>
                <w:sz w:val="24"/>
                <w:szCs w:val="24"/>
              </w:rPr>
            </w:pPr>
            <w:r>
              <w:rPr>
                <w:rFonts w:ascii="Times New Roman" w:hAnsi="Times New Roman" w:eastAsiaTheme="minorEastAsia"/>
                <w:sz w:val="24"/>
                <w:szCs w:val="24"/>
              </w:rPr>
              <w:t>Corio Generation的最终控制人为麦格理集团有限公司。有关Corio Generation</w:t>
            </w:r>
            <w:r>
              <w:rPr>
                <w:rFonts w:ascii="Times New Roman" w:hAnsi="Times New Roman" w:eastAsiaTheme="minorEastAsia"/>
                <w:sz w:val="24"/>
                <w:szCs w:val="24"/>
                <w:lang w:val="en-GB"/>
              </w:rPr>
              <w:t>的详细信息请参见</w:t>
            </w:r>
            <w:r>
              <w:rPr>
                <w:rFonts w:ascii="Times New Roman" w:hAnsi="Times New Roman" w:eastAsiaTheme="minorEastAsia"/>
                <w:kern w:val="0"/>
                <w:sz w:val="24"/>
                <w:szCs w:val="24"/>
              </w:rPr>
              <w:t>https://www.coriogeneration.com/</w:t>
            </w:r>
            <w:r>
              <w:rPr>
                <w:rFonts w:ascii="Times New Roman" w:hAnsi="Times New Roman" w:eastAsiaTheme="minorEastAsia"/>
                <w:sz w:val="24"/>
                <w:szCs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560" w:type="dxa"/>
            <w:vMerge w:val="restart"/>
            <w:shd w:val="clear" w:color="auto" w:fill="D9D9D9"/>
          </w:tcPr>
          <w:p>
            <w:pPr>
              <w:snapToGrid w:val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7088" w:type="dxa"/>
            <w:gridSpan w:val="2"/>
          </w:tcPr>
          <w:p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□1、在同一相关市场，所有参与集中的经营者所占市场份额之和小于15%。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30" w:hRule="atLeast"/>
        </w:trPr>
        <w:tc>
          <w:tcPr>
            <w:tcW w:w="1560" w:type="dxa"/>
            <w:vMerge w:val="continue"/>
            <w:shd w:val="clear" w:color="auto" w:fill="D9D9D9"/>
          </w:tcPr>
          <w:p>
            <w:pPr>
              <w:snapToGrid w:val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088" w:type="dxa"/>
            <w:gridSpan w:val="2"/>
          </w:tcPr>
          <w:p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□2、存在上下游关系的参与集中的经营者，在上下游市场所占的市场份额均小于25%。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60" w:type="dxa"/>
            <w:vMerge w:val="continue"/>
            <w:shd w:val="clear" w:color="auto" w:fill="D9D9D9"/>
          </w:tcPr>
          <w:p>
            <w:pPr>
              <w:snapToGrid w:val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088" w:type="dxa"/>
            <w:gridSpan w:val="2"/>
          </w:tcPr>
          <w:p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□3、不在同一相关市场、也不存在上下游关系的参与集中的经营者，在与交易有关的每个市场所占的份额均小于25%。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1560" w:type="dxa"/>
            <w:vMerge w:val="continue"/>
            <w:shd w:val="clear" w:color="auto" w:fill="D9D9D9"/>
          </w:tcPr>
          <w:p>
            <w:pPr>
              <w:snapToGrid w:val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088" w:type="dxa"/>
            <w:gridSpan w:val="2"/>
          </w:tcPr>
          <w:p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□4、参与集中的经营者在中国境外设立合营企业，合营企业不在中国境内从事经济活动。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560" w:type="dxa"/>
            <w:vMerge w:val="continue"/>
            <w:shd w:val="clear" w:color="auto" w:fill="D9D9D9"/>
          </w:tcPr>
          <w:p>
            <w:pPr>
              <w:snapToGrid w:val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088" w:type="dxa"/>
            <w:gridSpan w:val="2"/>
          </w:tcPr>
          <w:p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sym w:font="Wingdings" w:char="F0FE"/>
            </w:r>
            <w:r>
              <w:rPr>
                <w:rFonts w:ascii="Times New Roman" w:hAnsi="Times New Roman"/>
                <w:sz w:val="24"/>
                <w:szCs w:val="24"/>
              </w:rPr>
              <w:t>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560" w:type="dxa"/>
            <w:vMerge w:val="continue"/>
            <w:shd w:val="clear" w:color="auto" w:fill="D9D9D9"/>
          </w:tcPr>
          <w:p>
            <w:pPr>
              <w:snapToGrid w:val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088" w:type="dxa"/>
            <w:gridSpan w:val="2"/>
          </w:tcPr>
          <w:p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□6、由两个以上的经营者共同控制的合营企业，通过集中被其中一个或一个以上经营者控制。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60" w:type="dxa"/>
            <w:shd w:val="clear" w:color="auto" w:fill="D9D9D9"/>
          </w:tcPr>
          <w:p>
            <w:pPr>
              <w:snapToGrid w:val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备注</w:t>
            </w:r>
          </w:p>
        </w:tc>
        <w:tc>
          <w:tcPr>
            <w:tcW w:w="7088" w:type="dxa"/>
            <w:gridSpan w:val="2"/>
          </w:tcPr>
          <w:p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不适用</w:t>
            </w:r>
          </w:p>
        </w:tc>
      </w:tr>
    </w:tbl>
    <w:p>
      <w:pPr>
        <w:snapToGrid w:val="0"/>
        <w:spacing w:line="340" w:lineRule="exact"/>
        <w:jc w:val="left"/>
        <w:rPr>
          <w:rFonts w:ascii="Times" w:hAnsi="Times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46"/>
  <w:removePersonalInformation/>
  <w:bordersDoNotSurroundHeader w:val="1"/>
  <w:bordersDoNotSurroundFooter w:val="1"/>
  <w:doNotTrackMoves/>
  <w:doNotTrackFormatting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IwZWY3NGUxMWIxZjlkOTEwMzRiMzUwMDhiMWU0YWYifQ=="/>
  </w:docVars>
  <w:rsids>
    <w:rsidRoot w:val="00094095"/>
    <w:rsid w:val="00001B0F"/>
    <w:rsid w:val="00017396"/>
    <w:rsid w:val="00094095"/>
    <w:rsid w:val="001422B8"/>
    <w:rsid w:val="001A3C12"/>
    <w:rsid w:val="002052F5"/>
    <w:rsid w:val="00211879"/>
    <w:rsid w:val="002316AD"/>
    <w:rsid w:val="00233C9D"/>
    <w:rsid w:val="00245776"/>
    <w:rsid w:val="00265FAC"/>
    <w:rsid w:val="00266358"/>
    <w:rsid w:val="00266FF6"/>
    <w:rsid w:val="0029549A"/>
    <w:rsid w:val="002A33F7"/>
    <w:rsid w:val="002A3524"/>
    <w:rsid w:val="002F1036"/>
    <w:rsid w:val="002F2D60"/>
    <w:rsid w:val="00305D9D"/>
    <w:rsid w:val="00307976"/>
    <w:rsid w:val="00321B51"/>
    <w:rsid w:val="003276D7"/>
    <w:rsid w:val="0037225F"/>
    <w:rsid w:val="00373048"/>
    <w:rsid w:val="00395ECC"/>
    <w:rsid w:val="004041DA"/>
    <w:rsid w:val="00427F3C"/>
    <w:rsid w:val="00433B3B"/>
    <w:rsid w:val="00457D31"/>
    <w:rsid w:val="00462174"/>
    <w:rsid w:val="00470198"/>
    <w:rsid w:val="004901B3"/>
    <w:rsid w:val="00494C5A"/>
    <w:rsid w:val="004B3DA4"/>
    <w:rsid w:val="004C6BDB"/>
    <w:rsid w:val="004F388C"/>
    <w:rsid w:val="00530966"/>
    <w:rsid w:val="00531111"/>
    <w:rsid w:val="00534BE4"/>
    <w:rsid w:val="005626E5"/>
    <w:rsid w:val="00571C41"/>
    <w:rsid w:val="005A68ED"/>
    <w:rsid w:val="005A7399"/>
    <w:rsid w:val="005C4AA9"/>
    <w:rsid w:val="005D796C"/>
    <w:rsid w:val="005F167B"/>
    <w:rsid w:val="0060481D"/>
    <w:rsid w:val="006226F0"/>
    <w:rsid w:val="00625C74"/>
    <w:rsid w:val="00656563"/>
    <w:rsid w:val="006F0D2A"/>
    <w:rsid w:val="007603AA"/>
    <w:rsid w:val="00796EEF"/>
    <w:rsid w:val="007B33A9"/>
    <w:rsid w:val="00847C5F"/>
    <w:rsid w:val="00865891"/>
    <w:rsid w:val="00872274"/>
    <w:rsid w:val="008A3607"/>
    <w:rsid w:val="008B4010"/>
    <w:rsid w:val="00902295"/>
    <w:rsid w:val="009067B7"/>
    <w:rsid w:val="00915BB8"/>
    <w:rsid w:val="009424FE"/>
    <w:rsid w:val="0094340E"/>
    <w:rsid w:val="00967499"/>
    <w:rsid w:val="0099115B"/>
    <w:rsid w:val="009F1659"/>
    <w:rsid w:val="009F6AA2"/>
    <w:rsid w:val="00A22511"/>
    <w:rsid w:val="00A700D8"/>
    <w:rsid w:val="00AA2D1D"/>
    <w:rsid w:val="00AB6C08"/>
    <w:rsid w:val="00AC4BFD"/>
    <w:rsid w:val="00AD1D93"/>
    <w:rsid w:val="00AD6816"/>
    <w:rsid w:val="00AE2C40"/>
    <w:rsid w:val="00AF20BD"/>
    <w:rsid w:val="00AF3F7F"/>
    <w:rsid w:val="00B02AC9"/>
    <w:rsid w:val="00B037A4"/>
    <w:rsid w:val="00B2157B"/>
    <w:rsid w:val="00B240B1"/>
    <w:rsid w:val="00B56BE2"/>
    <w:rsid w:val="00B64447"/>
    <w:rsid w:val="00B75D6F"/>
    <w:rsid w:val="00B86D1C"/>
    <w:rsid w:val="00B955F5"/>
    <w:rsid w:val="00B96D43"/>
    <w:rsid w:val="00BA0750"/>
    <w:rsid w:val="00BB2377"/>
    <w:rsid w:val="00BB40E4"/>
    <w:rsid w:val="00BB78DD"/>
    <w:rsid w:val="00C72EE9"/>
    <w:rsid w:val="00C9068E"/>
    <w:rsid w:val="00C90E71"/>
    <w:rsid w:val="00CE791B"/>
    <w:rsid w:val="00D21777"/>
    <w:rsid w:val="00D8293A"/>
    <w:rsid w:val="00DD5E88"/>
    <w:rsid w:val="00E11775"/>
    <w:rsid w:val="00E219F1"/>
    <w:rsid w:val="00E4567B"/>
    <w:rsid w:val="00E677B7"/>
    <w:rsid w:val="00E7378E"/>
    <w:rsid w:val="00ED0BA9"/>
    <w:rsid w:val="00ED21B1"/>
    <w:rsid w:val="00F40281"/>
    <w:rsid w:val="00F45DD1"/>
    <w:rsid w:val="00F71656"/>
    <w:rsid w:val="00F87C1F"/>
    <w:rsid w:val="00F944F8"/>
    <w:rsid w:val="00FB4C6B"/>
    <w:rsid w:val="00FE6B3B"/>
    <w:rsid w:val="0A1C3A79"/>
    <w:rsid w:val="10F033BC"/>
    <w:rsid w:val="F7FF676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GB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59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endnote text"/>
    <w:basedOn w:val="1"/>
    <w:link w:val="11"/>
    <w:semiHidden/>
    <w:unhideWhenUsed/>
    <w:qFormat/>
    <w:uiPriority w:val="99"/>
    <w:pPr>
      <w:snapToGrid w:val="0"/>
      <w:jc w:val="left"/>
    </w:pPr>
  </w:style>
  <w:style w:type="paragraph" w:styleId="3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endnote reference"/>
    <w:semiHidden/>
    <w:unhideWhenUsed/>
    <w:qFormat/>
    <w:uiPriority w:val="99"/>
    <w:rPr>
      <w:vertAlign w:val="superscript"/>
    </w:r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1">
    <w:name w:val="Endnote Text Char"/>
    <w:basedOn w:val="8"/>
    <w:link w:val="2"/>
    <w:semiHidden/>
    <w:qFormat/>
    <w:uiPriority w:val="99"/>
  </w:style>
  <w:style w:type="character" w:customStyle="1" w:styleId="12">
    <w:name w:val="Header Char"/>
    <w:link w:val="5"/>
    <w:qFormat/>
    <w:uiPriority w:val="99"/>
    <w:rPr>
      <w:sz w:val="18"/>
      <w:szCs w:val="18"/>
    </w:rPr>
  </w:style>
  <w:style w:type="character" w:customStyle="1" w:styleId="13">
    <w:name w:val="Footer Char"/>
    <w:link w:val="4"/>
    <w:qFormat/>
    <w:uiPriority w:val="99"/>
    <w:rPr>
      <w:sz w:val="18"/>
      <w:szCs w:val="18"/>
    </w:rPr>
  </w:style>
  <w:style w:type="character" w:customStyle="1" w:styleId="14">
    <w:name w:val="Balloon Text Char"/>
    <w:basedOn w:val="8"/>
    <w:link w:val="3"/>
    <w:semiHidden/>
    <w:qFormat/>
    <w:uiPriority w:val="99"/>
    <w:rPr>
      <w:kern w:val="2"/>
      <w:sz w:val="18"/>
      <w:szCs w:val="18"/>
      <w:lang w:val="en-US" w:bidi="ar-SA"/>
    </w:rPr>
  </w:style>
  <w:style w:type="character" w:customStyle="1" w:styleId="15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734</Words>
  <Characters>1019</Characters>
  <Lines>39</Lines>
  <Paragraphs>23</Paragraphs>
  <TotalTime>0</TotalTime>
  <ScaleCrop>false</ScaleCrop>
  <LinksUpToDate>false</LinksUpToDate>
  <CharactersWithSpaces>1038</CharactersWithSpaces>
  <Application>WPS Office_11.1.0.11744_F1E327BC-269C-435d-A152-05C5408002CA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2022-05-26T08:57:00Z</dcterms:created>
  <dcterms:modified xsi:type="dcterms:W3CDTF">2022-05-26T15:16:51Z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2e67a54-274b-43d7-8098-b3ba5f50e576_Enabled">
    <vt:lpwstr>true</vt:lpwstr>
  </property>
  <property fmtid="{D5CDD505-2E9C-101B-9397-08002B2CF9AE}" pid="3" name="MSIP_Label_42e67a54-274b-43d7-8098-b3ba5f50e576_SetDate">
    <vt:lpwstr>2022-03-11T08:05:12Z</vt:lpwstr>
  </property>
  <property fmtid="{D5CDD505-2E9C-101B-9397-08002B2CF9AE}" pid="4" name="MSIP_Label_42e67a54-274b-43d7-8098-b3ba5f50e576_Method">
    <vt:lpwstr>Standard</vt:lpwstr>
  </property>
  <property fmtid="{D5CDD505-2E9C-101B-9397-08002B2CF9AE}" pid="5" name="MSIP_Label_42e67a54-274b-43d7-8098-b3ba5f50e576_Name">
    <vt:lpwstr>42e67a54-274b-43d7-8098-b3ba5f50e576</vt:lpwstr>
  </property>
  <property fmtid="{D5CDD505-2E9C-101B-9397-08002B2CF9AE}" pid="6" name="MSIP_Label_42e67a54-274b-43d7-8098-b3ba5f50e576_SiteId">
    <vt:lpwstr>7f0b44d2-04f8-4672-bf5d-4676796468a3</vt:lpwstr>
  </property>
  <property fmtid="{D5CDD505-2E9C-101B-9397-08002B2CF9AE}" pid="7" name="MSIP_Label_42e67a54-274b-43d7-8098-b3ba5f50e576_ActionId">
    <vt:lpwstr>816a926a-389b-4f19-9a56-77d2cef35f5b</vt:lpwstr>
  </property>
  <property fmtid="{D5CDD505-2E9C-101B-9397-08002B2CF9AE}" pid="8" name="MSIP_Label_42e67a54-274b-43d7-8098-b3ba5f50e576_ContentBits">
    <vt:lpwstr>0</vt:lpwstr>
  </property>
  <property fmtid="{D5CDD505-2E9C-101B-9397-08002B2CF9AE}" pid="9" name="Client">
    <vt:lpwstr>0112063</vt:lpwstr>
  </property>
  <property fmtid="{D5CDD505-2E9C-101B-9397-08002B2CF9AE}" pid="10" name="Matter">
    <vt:lpwstr>0000018</vt:lpwstr>
  </property>
  <property fmtid="{D5CDD505-2E9C-101B-9397-08002B2CF9AE}" pid="11" name="cpDocRef">
    <vt:lpwstr>SNO1: 2003460177.1</vt:lpwstr>
  </property>
  <property fmtid="{D5CDD505-2E9C-101B-9397-08002B2CF9AE}" pid="12" name="cpClientMatter">
    <vt:lpwstr>0112063-0000018</vt:lpwstr>
  </property>
  <property fmtid="{D5CDD505-2E9C-101B-9397-08002B2CF9AE}" pid="13" name="cpCombinedRef">
    <vt:lpwstr>0112063-0000018 SNO1: 2003460177.1</vt:lpwstr>
  </property>
  <property fmtid="{D5CDD505-2E9C-101B-9397-08002B2CF9AE}" pid="14" name="Client Code">
    <vt:lpwstr>10290463</vt:lpwstr>
  </property>
  <property fmtid="{D5CDD505-2E9C-101B-9397-08002B2CF9AE}" pid="15" name="Matter Number">
    <vt:lpwstr>L-308964</vt:lpwstr>
  </property>
  <property fmtid="{D5CDD505-2E9C-101B-9397-08002B2CF9AE}" pid="16" name="DEDocumentLocation">
    <vt:lpwstr>C:\Users\hwzhang\AppData\Local\Linklaters\DocExplorer\Attachments\A47929728 v0.3 220517_Project Maxwell_Public Announcement Form (CHN).docx</vt:lpwstr>
  </property>
  <property fmtid="{D5CDD505-2E9C-101B-9397-08002B2CF9AE}" pid="17" name="Document Number">
    <vt:lpwstr>A47929728</vt:lpwstr>
  </property>
  <property fmtid="{D5CDD505-2E9C-101B-9397-08002B2CF9AE}" pid="18" name="Last Modified">
    <vt:lpwstr>17 May 2022</vt:lpwstr>
  </property>
  <property fmtid="{D5CDD505-2E9C-101B-9397-08002B2CF9AE}" pid="19" name="Mode">
    <vt:lpwstr>SendAs</vt:lpwstr>
  </property>
  <property fmtid="{D5CDD505-2E9C-101B-9397-08002B2CF9AE}" pid="20" name="Version">
    <vt:lpwstr>0.3</vt:lpwstr>
  </property>
  <property fmtid="{D5CDD505-2E9C-101B-9397-08002B2CF9AE}" pid="21" name="ObjectID">
    <vt:lpwstr>09001dc89744d5f8</vt:lpwstr>
  </property>
  <property fmtid="{D5CDD505-2E9C-101B-9397-08002B2CF9AE}" pid="22" name="_MarkAsFinal">
    <vt:bool>false</vt:bool>
  </property>
  <property fmtid="{D5CDD505-2E9C-101B-9397-08002B2CF9AE}" pid="23" name="KSOProductBuildVer">
    <vt:lpwstr>2052-11.1.0.11744</vt:lpwstr>
  </property>
  <property fmtid="{D5CDD505-2E9C-101B-9397-08002B2CF9AE}" pid="24" name="ICV">
    <vt:lpwstr>D18B8D3BB7874702851B7B1D007BE79C</vt:lpwstr>
  </property>
</Properties>
</file>