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p>
    <w:p>
      <w:pPr>
        <w:spacing w:line="440" w:lineRule="exact"/>
        <w:jc w:val="center"/>
        <w:rPr>
          <w:rFonts w:ascii="黑体" w:hAnsi="黑体" w:eastAsia="黑体"/>
          <w:b/>
          <w:bCs/>
          <w:sz w:val="36"/>
          <w:szCs w:val="36"/>
        </w:rPr>
      </w:pPr>
      <w:r>
        <w:rPr>
          <w:rFonts w:ascii="黑体" w:hAnsi="黑体" w:eastAsia="黑体"/>
          <w:b/>
          <w:bCs/>
          <w:sz w:val="36"/>
          <w:szCs w:val="36"/>
        </w:rPr>
        <w:t>经营者集中</w:t>
      </w:r>
      <w:bookmarkStart w:id="0" w:name="_GoBack"/>
      <w:r>
        <w:rPr>
          <w:rFonts w:ascii="黑体" w:hAnsi="黑体" w:eastAsia="黑体"/>
          <w:b/>
          <w:bCs/>
          <w:sz w:val="36"/>
          <w:szCs w:val="36"/>
        </w:rPr>
        <w:t>简易案件公示表</w:t>
      </w:r>
    </w:p>
    <w:bookmarkEnd w:id="0"/>
    <w:p>
      <w:pPr>
        <w:spacing w:line="440" w:lineRule="exact"/>
        <w:ind w:firstLine="845" w:firstLineChars="302"/>
        <w:rPr>
          <w:rFonts w:ascii="Times New Roman" w:hAnsi="Times New Roman"/>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ascii="Times New Roman" w:hAnsi="Times New Roman"/>
                <w:kern w:val="0"/>
                <w:sz w:val="24"/>
                <w:szCs w:val="24"/>
              </w:rPr>
            </w:pPr>
            <w:r>
              <w:rPr>
                <w:rFonts w:ascii="Times New Roman" w:hAnsi="Times New Roman"/>
                <w:kern w:val="0"/>
                <w:sz w:val="24"/>
                <w:szCs w:val="24"/>
              </w:rPr>
              <w:t>案件名称</w:t>
            </w:r>
          </w:p>
        </w:tc>
        <w:tc>
          <w:tcPr>
            <w:tcW w:w="6949" w:type="dxa"/>
            <w:gridSpan w:val="2"/>
          </w:tcPr>
          <w:p>
            <w:pPr>
              <w:rPr>
                <w:rFonts w:ascii="Times New Roman" w:hAnsi="Times New Roman"/>
                <w:kern w:val="0"/>
                <w:sz w:val="24"/>
                <w:szCs w:val="24"/>
                <w:lang w:eastAsia="zh-Hans"/>
              </w:rPr>
            </w:pPr>
            <w:r>
              <w:rPr>
                <w:rFonts w:ascii="Times New Roman" w:hAnsi="Times New Roman"/>
                <w:kern w:val="0"/>
                <w:sz w:val="24"/>
                <w:szCs w:val="24"/>
                <w:lang w:eastAsia="zh-Hans"/>
              </w:rPr>
              <w:t>招商局积余产业运营服务股份有限公司收购深圳市汇勤物业管理有限公司股权案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jc w:val="center"/>
              <w:rPr>
                <w:rFonts w:ascii="Times New Roman" w:hAnsi="Times New Roman"/>
                <w:kern w:val="0"/>
                <w:sz w:val="24"/>
                <w:szCs w:val="24"/>
              </w:rPr>
            </w:pPr>
            <w:r>
              <w:rPr>
                <w:rFonts w:ascii="Times New Roman" w:hAnsi="Times New Roman"/>
                <w:kern w:val="0"/>
                <w:sz w:val="24"/>
                <w:szCs w:val="24"/>
              </w:rPr>
              <w:t>交易概况</w:t>
            </w:r>
          </w:p>
          <w:p>
            <w:pPr>
              <w:jc w:val="center"/>
              <w:rPr>
                <w:rFonts w:ascii="Times New Roman" w:hAnsi="Times New Roman"/>
                <w:kern w:val="0"/>
                <w:sz w:val="24"/>
                <w:szCs w:val="24"/>
              </w:rPr>
            </w:pPr>
            <w:r>
              <w:rPr>
                <w:rFonts w:ascii="Times New Roman" w:hAnsi="Times New Roman"/>
                <w:kern w:val="0"/>
                <w:sz w:val="24"/>
                <w:szCs w:val="24"/>
              </w:rPr>
              <w:t>（限200字内）</w:t>
            </w:r>
          </w:p>
        </w:tc>
        <w:tc>
          <w:tcPr>
            <w:tcW w:w="6949" w:type="dxa"/>
            <w:gridSpan w:val="2"/>
          </w:tcPr>
          <w:p>
            <w:pPr>
              <w:rPr>
                <w:rFonts w:ascii="Times New Roman" w:hAnsi="Times New Roman"/>
                <w:kern w:val="0"/>
                <w:sz w:val="24"/>
                <w:szCs w:val="24"/>
              </w:rPr>
            </w:pPr>
            <w:r>
              <w:rPr>
                <w:rFonts w:ascii="Times New Roman" w:hAnsi="Times New Roman"/>
                <w:kern w:val="0"/>
                <w:sz w:val="24"/>
                <w:szCs w:val="24"/>
                <w:lang w:eastAsia="zh-Hans"/>
              </w:rPr>
              <w:t>招商局积余产业运营服务股份有限公司（“招商积余”）与深圳市金尊投资发展有限公司（“金尊投资”）、深圳市汇勤物业管理有限公司（“汇勤物业”）签署《增资协议》</w:t>
            </w:r>
            <w:r>
              <w:rPr>
                <w:rFonts w:hint="eastAsia" w:ascii="Times New Roman" w:hAnsi="Times New Roman"/>
                <w:kern w:val="0"/>
                <w:sz w:val="24"/>
                <w:szCs w:val="24"/>
                <w:lang w:eastAsia="zh-Hans"/>
              </w:rPr>
              <w:t>《股东协议》</w:t>
            </w:r>
            <w:r>
              <w:rPr>
                <w:rFonts w:ascii="Times New Roman" w:hAnsi="Times New Roman"/>
                <w:kern w:val="0"/>
                <w:sz w:val="24"/>
                <w:szCs w:val="24"/>
                <w:lang w:eastAsia="zh-Hans"/>
              </w:rPr>
              <w:t>，招商积余</w:t>
            </w:r>
            <w:r>
              <w:rPr>
                <w:rFonts w:hint="eastAsia" w:ascii="Times New Roman" w:hAnsi="Times New Roman"/>
                <w:kern w:val="0"/>
                <w:sz w:val="24"/>
                <w:szCs w:val="24"/>
                <w:lang w:eastAsia="zh-Hans"/>
              </w:rPr>
              <w:t>收购</w:t>
            </w:r>
            <w:r>
              <w:rPr>
                <w:rFonts w:ascii="Times New Roman" w:hAnsi="Times New Roman"/>
                <w:kern w:val="0"/>
                <w:sz w:val="24"/>
                <w:szCs w:val="24"/>
                <w:lang w:eastAsia="zh-Hans"/>
              </w:rPr>
              <w:t>汇勤物业</w:t>
            </w:r>
            <w:r>
              <w:rPr>
                <w:rFonts w:hint="eastAsia" w:ascii="Times New Roman" w:hAnsi="Times New Roman"/>
                <w:kern w:val="0"/>
                <w:sz w:val="24"/>
                <w:szCs w:val="24"/>
                <w:lang w:eastAsia="zh-Hans"/>
              </w:rPr>
              <w:t>共计</w:t>
            </w:r>
            <w:r>
              <w:rPr>
                <w:rFonts w:ascii="Times New Roman" w:hAnsi="Times New Roman"/>
                <w:kern w:val="0"/>
                <w:sz w:val="24"/>
                <w:szCs w:val="24"/>
                <w:lang w:eastAsia="zh-Hans"/>
              </w:rPr>
              <w:t>65%股权</w:t>
            </w:r>
            <w:r>
              <w:rPr>
                <w:rFonts w:hint="eastAsia" w:ascii="Times New Roman" w:hAnsi="Times New Roman"/>
                <w:kern w:val="0"/>
                <w:sz w:val="24"/>
                <w:szCs w:val="24"/>
                <w:lang w:eastAsia="zh-Hans"/>
              </w:rPr>
              <w:t>。</w:t>
            </w:r>
            <w:r>
              <w:rPr>
                <w:rFonts w:ascii="Times New Roman" w:hAnsi="Times New Roman"/>
                <w:kern w:val="0"/>
                <w:sz w:val="24"/>
                <w:szCs w:val="24"/>
                <w:lang w:eastAsia="zh-Hans"/>
              </w:rPr>
              <w:t>汇勤物业</w:t>
            </w:r>
            <w:r>
              <w:rPr>
                <w:rFonts w:hint="eastAsia" w:ascii="Times New Roman" w:hAnsi="Times New Roman"/>
                <w:kern w:val="0"/>
                <w:sz w:val="24"/>
                <w:szCs w:val="24"/>
                <w:lang w:eastAsia="zh-Hans"/>
              </w:rPr>
              <w:t>主要从事商业物业管理业务</w:t>
            </w:r>
            <w:r>
              <w:rPr>
                <w:rFonts w:ascii="Times New Roman" w:hAnsi="Times New Roman"/>
                <w:kern w:val="0"/>
                <w:sz w:val="24"/>
                <w:szCs w:val="24"/>
                <w:lang w:eastAsia="zh-Hans"/>
              </w:rPr>
              <w:t>。交易前，金尊投资持有汇勤物业100%的股权，单独控制汇勤物业。交易后，招商积余将持有汇勤物业67%的股权，</w:t>
            </w:r>
            <w:r>
              <w:rPr>
                <w:rFonts w:hint="eastAsia" w:ascii="Times New Roman" w:hAnsi="Times New Roman"/>
                <w:kern w:val="0"/>
                <w:sz w:val="24"/>
                <w:szCs w:val="24"/>
                <w:lang w:eastAsia="zh-Hans"/>
              </w:rPr>
              <w:t>招商积余单独</w:t>
            </w:r>
            <w:r>
              <w:rPr>
                <w:rFonts w:ascii="Times New Roman" w:hAnsi="Times New Roman"/>
                <w:kern w:val="0"/>
                <w:sz w:val="24"/>
                <w:szCs w:val="24"/>
                <w:lang w:eastAsia="zh-Hans"/>
              </w:rPr>
              <w:t>控制汇勤物业。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jc w:val="center"/>
              <w:rPr>
                <w:rFonts w:ascii="Times New Roman" w:hAnsi="Times New Roman"/>
                <w:kern w:val="0"/>
                <w:sz w:val="24"/>
                <w:szCs w:val="24"/>
              </w:rPr>
            </w:pPr>
            <w:r>
              <w:rPr>
                <w:rFonts w:ascii="Times New Roman" w:hAnsi="Times New Roman"/>
                <w:kern w:val="0"/>
                <w:sz w:val="24"/>
                <w:szCs w:val="24"/>
              </w:rPr>
              <w:t>参与集中的</w:t>
            </w:r>
          </w:p>
          <w:p>
            <w:pPr>
              <w:jc w:val="center"/>
              <w:rPr>
                <w:rFonts w:ascii="Times New Roman" w:hAnsi="Times New Roman"/>
                <w:kern w:val="0"/>
                <w:sz w:val="24"/>
                <w:szCs w:val="24"/>
              </w:rPr>
            </w:pPr>
            <w:r>
              <w:rPr>
                <w:rFonts w:ascii="Times New Roman" w:hAnsi="Times New Roman"/>
                <w:kern w:val="0"/>
                <w:sz w:val="24"/>
                <w:szCs w:val="24"/>
              </w:rPr>
              <w:t>经营者简介</w:t>
            </w:r>
          </w:p>
        </w:tc>
        <w:tc>
          <w:tcPr>
            <w:tcW w:w="1796" w:type="dxa"/>
            <w:vAlign w:val="center"/>
          </w:tcPr>
          <w:p>
            <w:pPr>
              <w:jc w:val="center"/>
              <w:rPr>
                <w:rFonts w:ascii="Times New Roman" w:hAnsi="Times New Roman"/>
                <w:kern w:val="0"/>
                <w:sz w:val="24"/>
                <w:szCs w:val="24"/>
              </w:rPr>
            </w:pPr>
            <w:r>
              <w:rPr>
                <w:rFonts w:ascii="Times New Roman" w:hAnsi="Times New Roman"/>
                <w:kern w:val="0"/>
                <w:sz w:val="24"/>
                <w:szCs w:val="24"/>
                <w:lang w:eastAsia="zh-Hans"/>
              </w:rPr>
              <w:t>招商积余</w:t>
            </w:r>
          </w:p>
        </w:tc>
        <w:tc>
          <w:tcPr>
            <w:tcW w:w="5153" w:type="dxa"/>
          </w:tcPr>
          <w:p>
            <w:pPr>
              <w:rPr>
                <w:rFonts w:ascii="Times New Roman" w:hAnsi="Times New Roman"/>
                <w:kern w:val="0"/>
                <w:sz w:val="24"/>
                <w:szCs w:val="24"/>
                <w:lang w:eastAsia="zh-Hans"/>
              </w:rPr>
            </w:pPr>
            <w:r>
              <w:rPr>
                <w:rFonts w:ascii="Times New Roman" w:hAnsi="Times New Roman"/>
                <w:kern w:val="0"/>
                <w:sz w:val="24"/>
                <w:szCs w:val="24"/>
                <w:lang w:eastAsia="zh-Hans"/>
              </w:rPr>
              <w:t>招商积余于1985年5月29日</w:t>
            </w:r>
            <w:r>
              <w:rPr>
                <w:rFonts w:ascii="Times New Roman" w:hAnsi="Times New Roman"/>
                <w:kern w:val="0"/>
                <w:sz w:val="24"/>
                <w:szCs w:val="24"/>
              </w:rPr>
              <w:t>成立于中国广东省</w:t>
            </w:r>
            <w:r>
              <w:rPr>
                <w:rFonts w:ascii="Times New Roman" w:hAnsi="Times New Roman"/>
                <w:kern w:val="0"/>
                <w:sz w:val="24"/>
                <w:szCs w:val="24"/>
                <w:lang w:eastAsia="zh-Hans"/>
              </w:rPr>
              <w:t>，</w:t>
            </w:r>
            <w:r>
              <w:rPr>
                <w:rFonts w:ascii="Times New Roman" w:hAnsi="Times New Roman"/>
                <w:kern w:val="0"/>
                <w:sz w:val="24"/>
                <w:szCs w:val="24"/>
              </w:rPr>
              <w:t>为</w:t>
            </w:r>
            <w:r>
              <w:rPr>
                <w:rFonts w:ascii="Times New Roman" w:hAnsi="Times New Roman"/>
                <w:kern w:val="0"/>
                <w:sz w:val="24"/>
                <w:szCs w:val="24"/>
                <w:lang w:eastAsia="zh-Hans"/>
              </w:rPr>
              <w:t>深圳证券交易所</w:t>
            </w:r>
            <w:r>
              <w:rPr>
                <w:rFonts w:ascii="Times New Roman" w:hAnsi="Times New Roman"/>
                <w:kern w:val="0"/>
                <w:sz w:val="24"/>
                <w:szCs w:val="24"/>
              </w:rPr>
              <w:t>上市公司</w:t>
            </w:r>
            <w:r>
              <w:rPr>
                <w:rFonts w:ascii="Times New Roman" w:hAnsi="Times New Roman"/>
                <w:kern w:val="0"/>
                <w:sz w:val="24"/>
                <w:szCs w:val="24"/>
                <w:lang w:eastAsia="zh-Hans"/>
              </w:rPr>
              <w:t>，</w:t>
            </w:r>
            <w:r>
              <w:rPr>
                <w:rFonts w:ascii="Times New Roman" w:hAnsi="Times New Roman"/>
                <w:kern w:val="0"/>
                <w:sz w:val="24"/>
                <w:szCs w:val="24"/>
              </w:rPr>
              <w:t>主要业务</w:t>
            </w:r>
            <w:r>
              <w:rPr>
                <w:rFonts w:ascii="Times New Roman" w:hAnsi="Times New Roman"/>
                <w:kern w:val="0"/>
                <w:sz w:val="24"/>
                <w:szCs w:val="24"/>
                <w:lang w:eastAsia="zh-Hans"/>
              </w:rPr>
              <w:t>为物业管理。</w:t>
            </w:r>
          </w:p>
          <w:p>
            <w:pPr>
              <w:rPr>
                <w:rFonts w:ascii="Times New Roman" w:hAnsi="Times New Roman"/>
                <w:kern w:val="0"/>
                <w:sz w:val="24"/>
                <w:szCs w:val="24"/>
              </w:rPr>
            </w:pPr>
            <w:r>
              <w:rPr>
                <w:rFonts w:ascii="Times New Roman" w:hAnsi="Times New Roman"/>
                <w:kern w:val="0"/>
                <w:sz w:val="24"/>
                <w:szCs w:val="24"/>
              </w:rPr>
              <w:t>招商积余最终控制人为招商局集团，业务主要集中于综合交通、特色金融、城市与园区综合开发运营三大核心产业和邮轮、大健康、检测等新产业。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jc w:val="center"/>
              <w:rPr>
                <w:rFonts w:ascii="Times New Roman" w:hAnsi="Times New Roman"/>
                <w:kern w:val="0"/>
                <w:sz w:val="24"/>
                <w:szCs w:val="24"/>
              </w:rPr>
            </w:pPr>
          </w:p>
        </w:tc>
        <w:tc>
          <w:tcPr>
            <w:tcW w:w="1796" w:type="dxa"/>
            <w:vAlign w:val="center"/>
          </w:tcPr>
          <w:p>
            <w:pPr>
              <w:jc w:val="center"/>
              <w:rPr>
                <w:rFonts w:ascii="Times New Roman" w:hAnsi="Times New Roman"/>
                <w:kern w:val="0"/>
                <w:sz w:val="24"/>
                <w:szCs w:val="24"/>
              </w:rPr>
            </w:pPr>
            <w:r>
              <w:rPr>
                <w:rFonts w:ascii="Times New Roman" w:hAnsi="Times New Roman"/>
                <w:kern w:val="0"/>
                <w:sz w:val="24"/>
                <w:szCs w:val="24"/>
                <w:lang w:eastAsia="zh-Hans"/>
              </w:rPr>
              <w:t>汇勤物业</w:t>
            </w:r>
          </w:p>
        </w:tc>
        <w:tc>
          <w:tcPr>
            <w:tcW w:w="5153" w:type="dxa"/>
          </w:tcPr>
          <w:p>
            <w:pPr>
              <w:rPr>
                <w:rFonts w:ascii="Times New Roman" w:hAnsi="Times New Roman"/>
                <w:kern w:val="0"/>
                <w:sz w:val="24"/>
                <w:szCs w:val="24"/>
                <w:lang w:eastAsia="zh-Hans"/>
              </w:rPr>
            </w:pPr>
            <w:r>
              <w:rPr>
                <w:rFonts w:ascii="Times New Roman" w:hAnsi="Times New Roman"/>
                <w:kern w:val="0"/>
                <w:sz w:val="24"/>
                <w:szCs w:val="24"/>
                <w:lang w:eastAsia="zh-Hans"/>
              </w:rPr>
              <w:t>汇勤物业于2001年3月15日</w:t>
            </w:r>
            <w:r>
              <w:rPr>
                <w:rFonts w:ascii="Times New Roman" w:hAnsi="Times New Roman"/>
                <w:kern w:val="0"/>
                <w:sz w:val="24"/>
                <w:szCs w:val="24"/>
              </w:rPr>
              <w:t>成立于中国广东省</w:t>
            </w:r>
            <w:r>
              <w:rPr>
                <w:rFonts w:ascii="Times New Roman" w:hAnsi="Times New Roman"/>
                <w:kern w:val="0"/>
                <w:sz w:val="24"/>
                <w:szCs w:val="24"/>
                <w:lang w:eastAsia="zh-Hans"/>
              </w:rPr>
              <w:t>，</w:t>
            </w:r>
            <w:r>
              <w:rPr>
                <w:rFonts w:ascii="Times New Roman" w:hAnsi="Times New Roman"/>
                <w:kern w:val="0"/>
                <w:sz w:val="24"/>
                <w:szCs w:val="24"/>
              </w:rPr>
              <w:t>主要业务为</w:t>
            </w:r>
            <w:r>
              <w:rPr>
                <w:rFonts w:ascii="Times New Roman" w:hAnsi="Times New Roman"/>
                <w:kern w:val="0"/>
                <w:sz w:val="24"/>
                <w:szCs w:val="24"/>
                <w:lang w:eastAsia="zh-Hans"/>
              </w:rPr>
              <w:t>物业管理。</w:t>
            </w:r>
          </w:p>
          <w:p>
            <w:pPr>
              <w:rPr>
                <w:rFonts w:ascii="Times New Roman" w:hAnsi="Times New Roman"/>
                <w:kern w:val="0"/>
                <w:sz w:val="24"/>
                <w:szCs w:val="24"/>
                <w:lang w:eastAsia="zh-Hans"/>
              </w:rPr>
            </w:pPr>
            <w:r>
              <w:rPr>
                <w:rFonts w:ascii="Times New Roman" w:hAnsi="Times New Roman"/>
                <w:kern w:val="0"/>
                <w:sz w:val="24"/>
                <w:szCs w:val="24"/>
              </w:rPr>
              <w:t>汇勤物业最终控制人为招商银行工会委员会，主要从事物业管理、人力资源、数据处理、IT服务等业务。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jc w:val="center"/>
              <w:rPr>
                <w:rFonts w:ascii="Times New Roman" w:hAnsi="Times New Roman"/>
                <w:kern w:val="0"/>
                <w:sz w:val="24"/>
                <w:szCs w:val="24"/>
              </w:rPr>
            </w:pPr>
            <w:r>
              <w:rPr>
                <w:rFonts w:ascii="Times New Roman" w:hAnsi="Times New Roman"/>
                <w:kern w:val="0"/>
                <w:sz w:val="24"/>
                <w:szCs w:val="24"/>
              </w:rPr>
              <w:t>简易案件理由（可以单选，也可以多选）</w:t>
            </w:r>
          </w:p>
        </w:tc>
        <w:tc>
          <w:tcPr>
            <w:tcW w:w="6949" w:type="dxa"/>
            <w:gridSpan w:val="2"/>
          </w:tcPr>
          <w:p>
            <w:pPr>
              <w:rPr>
                <w:rFonts w:ascii="Times New Roman" w:hAnsi="Times New Roman"/>
                <w:kern w:val="0"/>
                <w:sz w:val="24"/>
                <w:szCs w:val="24"/>
              </w:rPr>
            </w:pPr>
            <w:r>
              <w:rPr>
                <w:rFonts w:ascii="Times New Roman" w:hAnsi="Times New Roman"/>
                <w:kern w:val="0"/>
                <w:sz w:val="24"/>
                <w:szCs w:val="24"/>
              </w:rPr>
              <w:sym w:font="Wingdings 2" w:char="0052"/>
            </w:r>
            <w:r>
              <w:rPr>
                <w:rFonts w:ascii="Times New Roman" w:hAnsi="Times New Roman"/>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jc w:val="center"/>
              <w:rPr>
                <w:rFonts w:ascii="Times New Roman" w:hAnsi="Times New Roman"/>
                <w:kern w:val="0"/>
                <w:sz w:val="24"/>
                <w:szCs w:val="24"/>
              </w:rPr>
            </w:pPr>
          </w:p>
        </w:tc>
        <w:tc>
          <w:tcPr>
            <w:tcW w:w="6949" w:type="dxa"/>
            <w:gridSpan w:val="2"/>
          </w:tcPr>
          <w:p>
            <w:pPr>
              <w:rPr>
                <w:rFonts w:ascii="Times New Roman" w:hAnsi="Times New Roman"/>
                <w:kern w:val="0"/>
                <w:sz w:val="24"/>
                <w:szCs w:val="24"/>
              </w:rPr>
            </w:pPr>
            <w:r>
              <w:rPr>
                <w:rFonts w:ascii="Times New Roman" w:hAnsi="Times New Roman"/>
                <w:kern w:val="0"/>
                <w:sz w:val="24"/>
                <w:szCs w:val="24"/>
              </w:rPr>
              <w:sym w:font="Wingdings 2" w:char="0052"/>
            </w:r>
            <w:r>
              <w:rPr>
                <w:rFonts w:ascii="Times New Roman" w:hAnsi="Times New Roman"/>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jc w:val="center"/>
              <w:rPr>
                <w:rFonts w:ascii="Times New Roman" w:hAnsi="Times New Roman"/>
                <w:kern w:val="0"/>
                <w:sz w:val="24"/>
                <w:szCs w:val="24"/>
              </w:rPr>
            </w:pPr>
          </w:p>
        </w:tc>
        <w:tc>
          <w:tcPr>
            <w:tcW w:w="6949" w:type="dxa"/>
            <w:gridSpan w:val="2"/>
          </w:tcPr>
          <w:p>
            <w:pPr>
              <w:rPr>
                <w:rFonts w:ascii="Times New Roman" w:hAnsi="Times New Roman"/>
                <w:kern w:val="0"/>
                <w:sz w:val="24"/>
                <w:szCs w:val="24"/>
              </w:rPr>
            </w:pPr>
            <w:r>
              <w:rPr>
                <w:rFonts w:ascii="Times New Roman" w:hAnsi="Times New Roman"/>
                <w:kern w:val="0"/>
                <w:sz w:val="24"/>
                <w:szCs w:val="24"/>
              </w:rPr>
              <w:sym w:font="Wingdings 2" w:char="00A3"/>
            </w:r>
            <w:r>
              <w:rPr>
                <w:rFonts w:ascii="Times New Roman" w:hAnsi="Times New Roman"/>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809" w:type="dxa"/>
            <w:vMerge w:val="continue"/>
            <w:shd w:val="clear" w:color="auto" w:fill="D9D9D9"/>
            <w:vAlign w:val="center"/>
          </w:tcPr>
          <w:p>
            <w:pPr>
              <w:jc w:val="center"/>
              <w:rPr>
                <w:rFonts w:ascii="Times New Roman" w:hAnsi="Times New Roman"/>
                <w:kern w:val="0"/>
                <w:sz w:val="24"/>
                <w:szCs w:val="24"/>
              </w:rPr>
            </w:pPr>
          </w:p>
        </w:tc>
        <w:tc>
          <w:tcPr>
            <w:tcW w:w="6949" w:type="dxa"/>
            <w:gridSpan w:val="2"/>
          </w:tcPr>
          <w:p>
            <w:pPr>
              <w:rPr>
                <w:rFonts w:hint="eastAsia" w:ascii="Times New Roman" w:hAnsi="Times New Roman"/>
                <w:kern w:val="0"/>
                <w:sz w:val="24"/>
                <w:szCs w:val="24"/>
              </w:rPr>
            </w:pPr>
            <w:r>
              <w:rPr>
                <w:rFonts w:ascii="Times New Roman" w:hAnsi="Times New Roman"/>
                <w:kern w:val="0"/>
                <w:sz w:val="24"/>
                <w:szCs w:val="24"/>
              </w:rPr>
              <w:sym w:font="Wingdings 2" w:char="00A3"/>
            </w:r>
            <w:r>
              <w:rPr>
                <w:rFonts w:ascii="Times New Roman" w:hAnsi="Times New Roman"/>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jc w:val="center"/>
              <w:rPr>
                <w:rFonts w:ascii="Times New Roman" w:hAnsi="Times New Roman"/>
                <w:kern w:val="0"/>
                <w:sz w:val="24"/>
                <w:szCs w:val="24"/>
              </w:rPr>
            </w:pPr>
          </w:p>
        </w:tc>
        <w:tc>
          <w:tcPr>
            <w:tcW w:w="6949" w:type="dxa"/>
            <w:gridSpan w:val="2"/>
          </w:tcPr>
          <w:p>
            <w:pPr>
              <w:rPr>
                <w:rFonts w:ascii="Times New Roman" w:hAnsi="Times New Roman"/>
                <w:kern w:val="0"/>
                <w:sz w:val="24"/>
                <w:szCs w:val="24"/>
              </w:rPr>
            </w:pPr>
            <w:r>
              <w:rPr>
                <w:rFonts w:ascii="Times New Roman" w:hAnsi="Times New Roman"/>
                <w:kern w:val="0"/>
                <w:sz w:val="24"/>
                <w:szCs w:val="24"/>
              </w:rPr>
              <w:sym w:font="Wingdings 2" w:char="00A3"/>
            </w:r>
            <w:r>
              <w:rPr>
                <w:rFonts w:ascii="Times New Roman" w:hAnsi="Times New Roman"/>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jc w:val="center"/>
              <w:rPr>
                <w:rFonts w:ascii="Times New Roman" w:hAnsi="Times New Roman"/>
                <w:kern w:val="0"/>
                <w:sz w:val="24"/>
                <w:szCs w:val="24"/>
              </w:rPr>
            </w:pPr>
          </w:p>
        </w:tc>
        <w:tc>
          <w:tcPr>
            <w:tcW w:w="6949" w:type="dxa"/>
            <w:gridSpan w:val="2"/>
          </w:tcPr>
          <w:p>
            <w:pPr>
              <w:rPr>
                <w:rFonts w:ascii="Times New Roman" w:hAnsi="Times New Roman"/>
                <w:kern w:val="0"/>
                <w:sz w:val="24"/>
                <w:szCs w:val="24"/>
              </w:rPr>
            </w:pPr>
            <w:r>
              <w:rPr>
                <w:rFonts w:ascii="Times New Roman" w:hAnsi="Times New Roman"/>
                <w:kern w:val="0"/>
                <w:sz w:val="24"/>
                <w:szCs w:val="24"/>
              </w:rPr>
              <w:sym w:font="Wingdings 2" w:char="00A3"/>
            </w:r>
            <w:r>
              <w:rPr>
                <w:rFonts w:ascii="Times New Roman" w:hAnsi="Times New Roman"/>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ascii="Times New Roman" w:hAnsi="Times New Roman"/>
                <w:kern w:val="0"/>
                <w:sz w:val="24"/>
                <w:szCs w:val="24"/>
              </w:rPr>
            </w:pPr>
            <w:r>
              <w:rPr>
                <w:rFonts w:ascii="Times New Roman" w:hAnsi="Times New Roman"/>
                <w:kern w:val="0"/>
                <w:sz w:val="24"/>
                <w:szCs w:val="24"/>
              </w:rPr>
              <w:t>备注</w:t>
            </w:r>
          </w:p>
        </w:tc>
        <w:tc>
          <w:tcPr>
            <w:tcW w:w="6949" w:type="dxa"/>
            <w:gridSpan w:val="2"/>
          </w:tcPr>
          <w:p>
            <w:pPr>
              <w:rPr>
                <w:rFonts w:ascii="Times New Roman" w:hAnsi="Times New Roman"/>
                <w:b/>
                <w:bCs/>
                <w:kern w:val="0"/>
                <w:sz w:val="24"/>
                <w:szCs w:val="24"/>
              </w:rPr>
            </w:pPr>
            <w:r>
              <w:rPr>
                <w:rFonts w:ascii="Times New Roman" w:hAnsi="Times New Roman"/>
                <w:b/>
                <w:bCs/>
                <w:kern w:val="0"/>
                <w:sz w:val="24"/>
                <w:szCs w:val="24"/>
              </w:rPr>
              <w:t>1. 横向重叠：</w:t>
            </w:r>
          </w:p>
          <w:p>
            <w:pPr>
              <w:rPr>
                <w:rFonts w:ascii="Times New Roman" w:hAnsi="Times New Roman"/>
                <w:kern w:val="0"/>
                <w:sz w:val="24"/>
                <w:szCs w:val="24"/>
              </w:rPr>
            </w:pPr>
            <w:r>
              <w:rPr>
                <w:rFonts w:ascii="Times New Roman" w:hAnsi="Times New Roman"/>
                <w:kern w:val="0"/>
                <w:sz w:val="24"/>
                <w:szCs w:val="24"/>
              </w:rPr>
              <w:t>相关商品市场：商业物业管理服务</w:t>
            </w:r>
          </w:p>
          <w:p>
            <w:pPr>
              <w:rPr>
                <w:rFonts w:ascii="Times New Roman" w:hAnsi="Times New Roman"/>
                <w:kern w:val="0"/>
                <w:sz w:val="24"/>
                <w:szCs w:val="24"/>
                <w:lang w:eastAsia="zh-Hans"/>
              </w:rPr>
            </w:pPr>
            <w:r>
              <w:rPr>
                <w:rFonts w:ascii="Times New Roman" w:hAnsi="Times New Roman"/>
                <w:kern w:val="0"/>
                <w:sz w:val="24"/>
                <w:szCs w:val="24"/>
              </w:rPr>
              <w:t>相关地域市场</w:t>
            </w:r>
            <w:r>
              <w:rPr>
                <w:rFonts w:ascii="Times New Roman" w:hAnsi="Times New Roman"/>
                <w:kern w:val="0"/>
                <w:sz w:val="24"/>
                <w:szCs w:val="24"/>
                <w:lang w:eastAsia="zh-Hans"/>
              </w:rPr>
              <w:t>：深圳、</w:t>
            </w:r>
            <w:r>
              <w:rPr>
                <w:rFonts w:ascii="Times New Roman" w:hAnsi="Times New Roman"/>
                <w:kern w:val="0"/>
                <w:sz w:val="24"/>
                <w:szCs w:val="24"/>
              </w:rPr>
              <w:t>上海、北京、成都、南京、</w:t>
            </w:r>
            <w:r>
              <w:rPr>
                <w:rFonts w:ascii="Times New Roman" w:hAnsi="Times New Roman"/>
                <w:kern w:val="0"/>
                <w:sz w:val="24"/>
                <w:szCs w:val="24"/>
                <w:lang w:eastAsia="zh-Hans"/>
              </w:rPr>
              <w:t>济南、杭州、天津、宁波、东莞、福州、太原、长春、合肥、广州、温州、南宁、绍兴、佛山、银川、长沙、苏州、厦门、泉州、无锡、贵阳</w:t>
            </w:r>
          </w:p>
          <w:p>
            <w:pPr>
              <w:rPr>
                <w:rFonts w:ascii="Times New Roman" w:hAnsi="Times New Roman"/>
                <w:kern w:val="0"/>
                <w:sz w:val="24"/>
                <w:szCs w:val="24"/>
              </w:rPr>
            </w:pPr>
            <w:r>
              <w:rPr>
                <w:rFonts w:ascii="Times New Roman" w:hAnsi="Times New Roman"/>
                <w:kern w:val="0"/>
                <w:sz w:val="24"/>
                <w:szCs w:val="24"/>
              </w:rPr>
              <w:t>商业物业管理服务市场排名前五位的城市：</w:t>
            </w:r>
          </w:p>
          <w:tbl>
            <w:tblPr>
              <w:tblStyle w:val="7"/>
              <w:tblW w:w="48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1677"/>
              <w:gridCol w:w="1508"/>
              <w:gridCol w:w="1340"/>
              <w:gridCol w:w="1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511" w:type="pct"/>
                  <w:vMerge w:val="restart"/>
                  <w:shd w:val="clear" w:color="auto" w:fill="D8D8D8" w:themeFill="background1" w:themeFillShade="D9"/>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序号</w:t>
                  </w:r>
                </w:p>
              </w:tc>
              <w:tc>
                <w:tcPr>
                  <w:tcW w:w="1287" w:type="pct"/>
                  <w:vMerge w:val="restart"/>
                  <w:shd w:val="clear" w:color="auto" w:fill="D8D8D8" w:themeFill="background1" w:themeFillShade="D9"/>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相关地域市场</w:t>
                  </w:r>
                </w:p>
              </w:tc>
              <w:tc>
                <w:tcPr>
                  <w:tcW w:w="2185" w:type="pct"/>
                  <w:gridSpan w:val="2"/>
                  <w:shd w:val="clear" w:color="auto" w:fill="D8D8D8" w:themeFill="background1" w:themeFillShade="D9"/>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市场份额</w:t>
                  </w:r>
                </w:p>
              </w:tc>
              <w:tc>
                <w:tcPr>
                  <w:tcW w:w="1017" w:type="pct"/>
                  <w:vMerge w:val="restart"/>
                  <w:shd w:val="clear" w:color="auto" w:fill="D8D8D8" w:themeFill="background1" w:themeFillShade="D9"/>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双方合计市场份额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4" w:hRule="atLeast"/>
              </w:trPr>
              <w:tc>
                <w:tcPr>
                  <w:tcW w:w="511" w:type="pct"/>
                  <w:vMerge w:val="continue"/>
                  <w:shd w:val="clear" w:color="auto" w:fill="D8D8D8" w:themeFill="background1" w:themeFillShade="D9"/>
                  <w:vAlign w:val="center"/>
                </w:tcPr>
                <w:p>
                  <w:pPr>
                    <w:jc w:val="center"/>
                    <w:rPr>
                      <w:rFonts w:ascii="Times New Roman" w:hAnsi="Times New Roman" w:eastAsia="宋体" w:cs="Times New Roman"/>
                      <w:sz w:val="24"/>
                      <w:szCs w:val="24"/>
                      <w:lang w:val="zh-CN"/>
                    </w:rPr>
                  </w:pPr>
                </w:p>
              </w:tc>
              <w:tc>
                <w:tcPr>
                  <w:tcW w:w="1287" w:type="pct"/>
                  <w:vMerge w:val="continue"/>
                  <w:shd w:val="clear" w:color="auto" w:fill="D8D8D8" w:themeFill="background1" w:themeFillShade="D9"/>
                  <w:vAlign w:val="center"/>
                </w:tcPr>
                <w:p>
                  <w:pPr>
                    <w:jc w:val="center"/>
                    <w:rPr>
                      <w:rFonts w:ascii="Times New Roman" w:hAnsi="Times New Roman" w:eastAsia="宋体" w:cs="Times New Roman"/>
                      <w:sz w:val="24"/>
                      <w:szCs w:val="24"/>
                      <w:lang w:val="zh-CN"/>
                    </w:rPr>
                  </w:pPr>
                </w:p>
              </w:tc>
              <w:tc>
                <w:tcPr>
                  <w:tcW w:w="1157" w:type="pct"/>
                  <w:shd w:val="clear" w:color="auto" w:fill="D8D8D8" w:themeFill="background1" w:themeFillShade="D9"/>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招商积余</w:t>
                  </w:r>
                </w:p>
              </w:tc>
              <w:tc>
                <w:tcPr>
                  <w:tcW w:w="1028" w:type="pct"/>
                  <w:shd w:val="clear" w:color="auto" w:fill="D8D8D8" w:themeFill="background1" w:themeFillShade="D9"/>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汇勤物业</w:t>
                  </w:r>
                </w:p>
              </w:tc>
              <w:tc>
                <w:tcPr>
                  <w:tcW w:w="1017" w:type="pct"/>
                  <w:vMerge w:val="continue"/>
                  <w:shd w:val="clear" w:color="auto" w:fill="D8D8D8" w:themeFill="background1" w:themeFillShade="D9"/>
                  <w:vAlign w:val="center"/>
                </w:tcPr>
                <w:p>
                  <w:pPr>
                    <w:jc w:val="center"/>
                    <w:rPr>
                      <w:rFonts w:ascii="Times New Roman" w:hAnsi="Times New Roman" w:eastAsia="宋体" w:cs="Times New Roman"/>
                      <w:sz w:val="24"/>
                      <w:szCs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511" w:type="pct"/>
                  <w:vAlign w:val="center"/>
                </w:tcPr>
                <w:p>
                  <w:pPr>
                    <w:pStyle w:val="14"/>
                    <w:numPr>
                      <w:ilvl w:val="0"/>
                      <w:numId w:val="1"/>
                    </w:numPr>
                    <w:ind w:firstLineChars="0"/>
                    <w:jc w:val="center"/>
                    <w:rPr>
                      <w:rFonts w:ascii="Times New Roman" w:hAnsi="Times New Roman" w:eastAsia="宋体" w:cs="Times New Roman"/>
                      <w:lang w:val="zh-CN"/>
                    </w:rPr>
                  </w:pPr>
                </w:p>
              </w:tc>
              <w:tc>
                <w:tcPr>
                  <w:tcW w:w="128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深圳</w:t>
                  </w:r>
                </w:p>
              </w:tc>
              <w:tc>
                <w:tcPr>
                  <w:tcW w:w="115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c>
                <w:tcPr>
                  <w:tcW w:w="1028"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c>
                <w:tcPr>
                  <w:tcW w:w="101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511" w:type="pct"/>
                  <w:vAlign w:val="center"/>
                </w:tcPr>
                <w:p>
                  <w:pPr>
                    <w:pStyle w:val="14"/>
                    <w:numPr>
                      <w:ilvl w:val="0"/>
                      <w:numId w:val="1"/>
                    </w:numPr>
                    <w:ind w:firstLineChars="0"/>
                    <w:jc w:val="center"/>
                    <w:rPr>
                      <w:rFonts w:ascii="Times New Roman" w:hAnsi="Times New Roman" w:eastAsia="宋体" w:cs="Times New Roman"/>
                      <w:lang w:val="zh-CN"/>
                    </w:rPr>
                  </w:pPr>
                </w:p>
              </w:tc>
              <w:tc>
                <w:tcPr>
                  <w:tcW w:w="128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上海</w:t>
                  </w:r>
                </w:p>
              </w:tc>
              <w:tc>
                <w:tcPr>
                  <w:tcW w:w="115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c>
                <w:tcPr>
                  <w:tcW w:w="1028"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c>
                <w:tcPr>
                  <w:tcW w:w="101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511" w:type="pct"/>
                  <w:vAlign w:val="center"/>
                </w:tcPr>
                <w:p>
                  <w:pPr>
                    <w:pStyle w:val="14"/>
                    <w:numPr>
                      <w:ilvl w:val="0"/>
                      <w:numId w:val="1"/>
                    </w:numPr>
                    <w:ind w:firstLineChars="0"/>
                    <w:jc w:val="center"/>
                    <w:rPr>
                      <w:rFonts w:ascii="Times New Roman" w:hAnsi="Times New Roman" w:eastAsia="宋体" w:cs="Times New Roman"/>
                      <w:lang w:val="zh-CN"/>
                    </w:rPr>
                  </w:pPr>
                </w:p>
              </w:tc>
              <w:tc>
                <w:tcPr>
                  <w:tcW w:w="128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北京</w:t>
                  </w:r>
                </w:p>
              </w:tc>
              <w:tc>
                <w:tcPr>
                  <w:tcW w:w="115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c>
                <w:tcPr>
                  <w:tcW w:w="1028"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c>
                <w:tcPr>
                  <w:tcW w:w="101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511" w:type="pct"/>
                  <w:vAlign w:val="center"/>
                </w:tcPr>
                <w:p>
                  <w:pPr>
                    <w:pStyle w:val="14"/>
                    <w:numPr>
                      <w:ilvl w:val="0"/>
                      <w:numId w:val="1"/>
                    </w:numPr>
                    <w:ind w:firstLineChars="0"/>
                    <w:jc w:val="center"/>
                    <w:rPr>
                      <w:rFonts w:ascii="Times New Roman" w:hAnsi="Times New Roman" w:eastAsia="宋体" w:cs="Times New Roman"/>
                      <w:lang w:val="zh-CN"/>
                    </w:rPr>
                  </w:pPr>
                </w:p>
              </w:tc>
              <w:tc>
                <w:tcPr>
                  <w:tcW w:w="128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成都</w:t>
                  </w:r>
                </w:p>
              </w:tc>
              <w:tc>
                <w:tcPr>
                  <w:tcW w:w="115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c>
                <w:tcPr>
                  <w:tcW w:w="1028"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c>
                <w:tcPr>
                  <w:tcW w:w="101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511" w:type="pct"/>
                  <w:vAlign w:val="center"/>
                </w:tcPr>
                <w:p>
                  <w:pPr>
                    <w:pStyle w:val="14"/>
                    <w:numPr>
                      <w:ilvl w:val="0"/>
                      <w:numId w:val="1"/>
                    </w:numPr>
                    <w:ind w:firstLineChars="0"/>
                    <w:jc w:val="center"/>
                    <w:rPr>
                      <w:rFonts w:ascii="Times New Roman" w:hAnsi="Times New Roman" w:eastAsia="宋体" w:cs="Times New Roman"/>
                      <w:lang w:val="zh-CN"/>
                    </w:rPr>
                  </w:pPr>
                </w:p>
              </w:tc>
              <w:tc>
                <w:tcPr>
                  <w:tcW w:w="128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南京</w:t>
                  </w:r>
                </w:p>
              </w:tc>
              <w:tc>
                <w:tcPr>
                  <w:tcW w:w="115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c>
                <w:tcPr>
                  <w:tcW w:w="1028"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c>
                <w:tcPr>
                  <w:tcW w:w="1017" w:type="pct"/>
                  <w:vAlign w:val="center"/>
                </w:tcPr>
                <w:p>
                  <w:pPr>
                    <w:jc w:val="center"/>
                    <w:rPr>
                      <w:rFonts w:ascii="Times New Roman" w:hAnsi="Times New Roman" w:eastAsia="宋体" w:cs="Times New Roman"/>
                      <w:sz w:val="24"/>
                      <w:szCs w:val="24"/>
                      <w:lang w:val="zh-CN"/>
                    </w:rPr>
                  </w:pPr>
                  <w:r>
                    <w:rPr>
                      <w:rFonts w:ascii="Times New Roman" w:hAnsi="Times New Roman" w:eastAsia="宋体" w:cs="Times New Roman"/>
                      <w:sz w:val="24"/>
                      <w:szCs w:val="24"/>
                    </w:rPr>
                    <w:t>[0-5] %</w:t>
                  </w:r>
                </w:p>
              </w:tc>
            </w:tr>
          </w:tbl>
          <w:p>
            <w:pPr>
              <w:rPr>
                <w:rFonts w:ascii="Times New Roman" w:hAnsi="Times New Roman"/>
                <w:kern w:val="0"/>
                <w:sz w:val="24"/>
                <w:szCs w:val="24"/>
                <w:lang w:eastAsia="zh-Hans"/>
              </w:rPr>
            </w:pPr>
          </w:p>
          <w:p>
            <w:pPr>
              <w:rPr>
                <w:rFonts w:ascii="Times New Roman" w:hAnsi="Times New Roman"/>
                <w:b/>
                <w:bCs/>
                <w:kern w:val="0"/>
                <w:sz w:val="24"/>
                <w:szCs w:val="24"/>
              </w:rPr>
            </w:pPr>
            <w:r>
              <w:rPr>
                <w:rFonts w:ascii="Times New Roman" w:hAnsi="Times New Roman"/>
                <w:b/>
                <w:bCs/>
                <w:kern w:val="0"/>
                <w:sz w:val="24"/>
                <w:szCs w:val="24"/>
              </w:rPr>
              <w:t>2. 纵向关联：</w:t>
            </w:r>
          </w:p>
          <w:p>
            <w:pPr>
              <w:numPr>
                <w:ilvl w:val="255"/>
                <w:numId w:val="0"/>
              </w:numPr>
              <w:rPr>
                <w:rFonts w:ascii="Times New Roman" w:hAnsi="Times New Roman"/>
                <w:kern w:val="0"/>
                <w:sz w:val="24"/>
                <w:szCs w:val="24"/>
              </w:rPr>
            </w:pPr>
            <w:r>
              <w:rPr>
                <w:rFonts w:ascii="Times New Roman" w:hAnsi="Times New Roman"/>
                <w:kern w:val="0"/>
                <w:sz w:val="24"/>
                <w:szCs w:val="24"/>
              </w:rPr>
              <w:t>上游市场：（1）商业地产开发与销售</w:t>
            </w:r>
            <w:r>
              <w:rPr>
                <w:rFonts w:hint="eastAsia" w:ascii="Times New Roman" w:hAnsi="Times New Roman"/>
                <w:kern w:val="0"/>
                <w:sz w:val="24"/>
                <w:szCs w:val="24"/>
              </w:rPr>
              <w:t>；</w:t>
            </w:r>
            <w:r>
              <w:rPr>
                <w:rFonts w:ascii="Times New Roman" w:hAnsi="Times New Roman"/>
                <w:kern w:val="0"/>
                <w:sz w:val="24"/>
                <w:szCs w:val="24"/>
              </w:rPr>
              <w:t>（2）写字楼开发与销售</w:t>
            </w:r>
          </w:p>
          <w:p>
            <w:pPr>
              <w:numPr>
                <w:ilvl w:val="255"/>
                <w:numId w:val="0"/>
              </w:numPr>
              <w:rPr>
                <w:rFonts w:ascii="Times New Roman" w:hAnsi="Times New Roman"/>
                <w:kern w:val="0"/>
                <w:sz w:val="24"/>
                <w:szCs w:val="24"/>
              </w:rPr>
            </w:pPr>
            <w:r>
              <w:rPr>
                <w:rFonts w:ascii="Times New Roman" w:hAnsi="Times New Roman"/>
                <w:kern w:val="0"/>
                <w:sz w:val="24"/>
                <w:szCs w:val="24"/>
              </w:rPr>
              <w:t>相关地域市场：</w:t>
            </w:r>
            <w:r>
              <w:rPr>
                <w:rFonts w:ascii="Times New Roman" w:hAnsi="Times New Roman"/>
                <w:kern w:val="0"/>
                <w:sz w:val="24"/>
                <w:szCs w:val="24"/>
                <w:lang w:eastAsia="zh-Hans"/>
              </w:rPr>
              <w:t>深圳、</w:t>
            </w:r>
            <w:r>
              <w:rPr>
                <w:rFonts w:ascii="Times New Roman" w:hAnsi="Times New Roman"/>
                <w:kern w:val="0"/>
                <w:sz w:val="24"/>
                <w:szCs w:val="24"/>
              </w:rPr>
              <w:t>上海、北京、成都、南京、</w:t>
            </w:r>
            <w:r>
              <w:rPr>
                <w:rFonts w:ascii="Times New Roman" w:hAnsi="Times New Roman"/>
                <w:kern w:val="0"/>
                <w:sz w:val="24"/>
                <w:szCs w:val="24"/>
                <w:lang w:eastAsia="zh-Hans"/>
              </w:rPr>
              <w:t>济南、杭州、天津、宁波、东莞、福州、太原、长春、合肥、广州、温州、南宁、绍兴、佛山、银川、长沙、苏州、厦门、泉州、无锡、贵阳</w:t>
            </w:r>
          </w:p>
          <w:p>
            <w:pPr>
              <w:numPr>
                <w:ilvl w:val="255"/>
                <w:numId w:val="0"/>
              </w:numPr>
              <w:rPr>
                <w:rFonts w:ascii="Times New Roman" w:hAnsi="Times New Roman"/>
                <w:kern w:val="0"/>
                <w:sz w:val="24"/>
                <w:szCs w:val="24"/>
              </w:rPr>
            </w:pPr>
            <w:r>
              <w:rPr>
                <w:rFonts w:ascii="Times New Roman" w:hAnsi="Times New Roman"/>
                <w:kern w:val="0"/>
                <w:sz w:val="24"/>
                <w:szCs w:val="24"/>
              </w:rPr>
              <w:t>下游市场：商业物业管理服务</w:t>
            </w:r>
          </w:p>
          <w:p>
            <w:pPr>
              <w:numPr>
                <w:ilvl w:val="255"/>
                <w:numId w:val="0"/>
              </w:numPr>
              <w:rPr>
                <w:rFonts w:ascii="Times New Roman" w:hAnsi="Times New Roman"/>
                <w:kern w:val="0"/>
                <w:sz w:val="24"/>
                <w:szCs w:val="24"/>
              </w:rPr>
            </w:pPr>
            <w:r>
              <w:rPr>
                <w:rFonts w:ascii="Times New Roman" w:hAnsi="Times New Roman"/>
                <w:kern w:val="0"/>
                <w:sz w:val="24"/>
                <w:szCs w:val="24"/>
              </w:rPr>
              <w:t>（1）商业地产开发与销售市场排名前五位的城市：</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5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shd w:val="clear" w:color="auto" w:fill="D8D8D8" w:themeFill="background1" w:themeFillShade="D9"/>
                  <w:vAlign w:val="center"/>
                </w:tcPr>
                <w:p>
                  <w:pPr>
                    <w:spacing w:before="156" w:beforeLines="50" w:after="156" w:afterLines="50"/>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地域市场</w:t>
                  </w:r>
                </w:p>
              </w:tc>
              <w:tc>
                <w:tcPr>
                  <w:tcW w:w="5814" w:type="dxa"/>
                  <w:shd w:val="clear" w:color="auto" w:fill="D8D8D8" w:themeFill="background1" w:themeFillShade="D9"/>
                  <w:vAlign w:val="center"/>
                </w:tcPr>
                <w:p>
                  <w:pPr>
                    <w:spacing w:before="156" w:beforeLines="50" w:after="156" w:afterLines="50"/>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商业地产开发与销售市场份额</w:t>
                  </w:r>
                </w:p>
                <w:p>
                  <w:pPr>
                    <w:spacing w:before="156" w:beforeLines="50" w:after="156" w:afterLines="50"/>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w:t>
                  </w:r>
                  <w:r>
                    <w:rPr>
                      <w:rFonts w:ascii="Times New Roman" w:hAnsi="Times New Roman" w:eastAsia="宋体" w:cs="Times New Roman"/>
                      <w:sz w:val="24"/>
                      <w:szCs w:val="24"/>
                    </w:rPr>
                    <w:t>招商积余及其关联实体招商蛇口</w:t>
                  </w:r>
                  <w:r>
                    <w:rPr>
                      <w:rFonts w:ascii="Times New Roman" w:hAnsi="Times New Roman" w:eastAsia="宋体" w:cs="Times New Roman"/>
                      <w:sz w:val="24"/>
                      <w:szCs w:val="24"/>
                      <w:lang w:val="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深圳</w:t>
                  </w:r>
                </w:p>
              </w:tc>
              <w:tc>
                <w:tcPr>
                  <w:tcW w:w="5814"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t>[5-10]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上海</w:t>
                  </w:r>
                </w:p>
              </w:tc>
              <w:tc>
                <w:tcPr>
                  <w:tcW w:w="5814"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t>[0-5]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5"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北京</w:t>
                  </w:r>
                </w:p>
              </w:tc>
              <w:tc>
                <w:tcPr>
                  <w:tcW w:w="5814"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t>[0-5]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成都</w:t>
                  </w:r>
                </w:p>
              </w:tc>
              <w:tc>
                <w:tcPr>
                  <w:tcW w:w="5814"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t>[0-5]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南京</w:t>
                  </w:r>
                </w:p>
              </w:tc>
              <w:tc>
                <w:tcPr>
                  <w:tcW w:w="5814"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t>[0-5] %</w:t>
                  </w:r>
                </w:p>
              </w:tc>
            </w:tr>
          </w:tbl>
          <w:p>
            <w:pPr>
              <w:numPr>
                <w:ilvl w:val="255"/>
                <w:numId w:val="0"/>
              </w:numPr>
              <w:rPr>
                <w:rFonts w:ascii="Times New Roman" w:hAnsi="Times New Roman"/>
                <w:kern w:val="0"/>
                <w:sz w:val="24"/>
                <w:szCs w:val="24"/>
                <w:lang w:eastAsia="zh-Hans"/>
              </w:rPr>
            </w:pPr>
          </w:p>
          <w:p>
            <w:pPr>
              <w:numPr>
                <w:ilvl w:val="255"/>
                <w:numId w:val="0"/>
              </w:numPr>
              <w:rPr>
                <w:rFonts w:ascii="Times New Roman" w:hAnsi="Times New Roman"/>
                <w:kern w:val="0"/>
                <w:sz w:val="24"/>
                <w:szCs w:val="24"/>
              </w:rPr>
            </w:pPr>
            <w:r>
              <w:rPr>
                <w:rFonts w:ascii="Times New Roman" w:hAnsi="Times New Roman"/>
                <w:kern w:val="0"/>
                <w:sz w:val="24"/>
                <w:szCs w:val="24"/>
                <w:lang w:eastAsia="zh-Hans"/>
              </w:rPr>
              <w:t xml:space="preserve">2. </w:t>
            </w:r>
            <w:r>
              <w:rPr>
                <w:rFonts w:ascii="Times New Roman" w:hAnsi="Times New Roman"/>
                <w:kern w:val="0"/>
                <w:sz w:val="24"/>
                <w:szCs w:val="24"/>
              </w:rPr>
              <w:t>写字楼开发与销售市场排名前五位的城市：</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5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shd w:val="clear" w:color="auto" w:fill="D8D8D8" w:themeFill="background1" w:themeFillShade="D9"/>
                  <w:vAlign w:val="center"/>
                </w:tcPr>
                <w:p>
                  <w:pPr>
                    <w:spacing w:before="156" w:beforeLines="50" w:after="156" w:afterLines="50"/>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地域市场</w:t>
                  </w:r>
                </w:p>
              </w:tc>
              <w:tc>
                <w:tcPr>
                  <w:tcW w:w="5814" w:type="dxa"/>
                  <w:shd w:val="clear" w:color="auto" w:fill="D8D8D8" w:themeFill="background1" w:themeFillShade="D9"/>
                  <w:vAlign w:val="center"/>
                </w:tcPr>
                <w:p>
                  <w:pPr>
                    <w:spacing w:before="156" w:beforeLines="50" w:after="156" w:afterLines="50"/>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写字楼开发与销售市场份额</w:t>
                  </w:r>
                </w:p>
                <w:p>
                  <w:pPr>
                    <w:spacing w:before="156" w:beforeLines="50" w:after="156" w:afterLines="50"/>
                    <w:jc w:val="center"/>
                    <w:rPr>
                      <w:rFonts w:ascii="Times New Roman" w:hAnsi="Times New Roman" w:eastAsia="宋体" w:cs="Times New Roman"/>
                      <w:sz w:val="24"/>
                      <w:szCs w:val="24"/>
                      <w:lang w:val="zh-CN"/>
                    </w:rPr>
                  </w:pPr>
                  <w:r>
                    <w:rPr>
                      <w:rFonts w:ascii="Times New Roman" w:hAnsi="Times New Roman" w:eastAsia="宋体" w:cs="Times New Roman"/>
                      <w:sz w:val="24"/>
                      <w:szCs w:val="24"/>
                      <w:lang w:val="zh-CN"/>
                    </w:rPr>
                    <w:t>（</w:t>
                  </w:r>
                  <w:r>
                    <w:rPr>
                      <w:rFonts w:ascii="Times New Roman" w:hAnsi="Times New Roman" w:eastAsia="宋体" w:cs="Times New Roman"/>
                      <w:sz w:val="24"/>
                      <w:szCs w:val="24"/>
                    </w:rPr>
                    <w:t>招商积余及其关联实体招商蛇口</w:t>
                  </w:r>
                  <w:r>
                    <w:rPr>
                      <w:rFonts w:ascii="Times New Roman" w:hAnsi="Times New Roman" w:eastAsia="宋体" w:cs="Times New Roman"/>
                      <w:sz w:val="24"/>
                      <w:szCs w:val="24"/>
                      <w:lang w:val="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深圳</w:t>
                  </w:r>
                </w:p>
              </w:tc>
              <w:tc>
                <w:tcPr>
                  <w:tcW w:w="5814"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t>[5-10]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上海</w:t>
                  </w:r>
                </w:p>
              </w:tc>
              <w:tc>
                <w:tcPr>
                  <w:tcW w:w="5814"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t>[0-5]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5"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北京</w:t>
                  </w:r>
                </w:p>
              </w:tc>
              <w:tc>
                <w:tcPr>
                  <w:tcW w:w="5814"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t>[0-5]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成都</w:t>
                  </w:r>
                </w:p>
              </w:tc>
              <w:tc>
                <w:tcPr>
                  <w:tcW w:w="5814"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t>[0-5]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lang w:val="zh-CN"/>
                    </w:rPr>
                    <w:t>南京</w:t>
                  </w:r>
                </w:p>
              </w:tc>
              <w:tc>
                <w:tcPr>
                  <w:tcW w:w="5814" w:type="dxa"/>
                  <w:vAlign w:val="center"/>
                </w:tcPr>
                <w:p>
                  <w:pPr>
                    <w:spacing w:before="156" w:beforeLines="50" w:after="156" w:afterLines="50"/>
                    <w:jc w:val="center"/>
                    <w:rPr>
                      <w:rFonts w:ascii="Times New Roman" w:hAnsi="Times New Roman" w:eastAsia="宋体" w:cs="Times New Roman"/>
                      <w:sz w:val="24"/>
                      <w:szCs w:val="24"/>
                    </w:rPr>
                  </w:pPr>
                  <w:r>
                    <w:rPr>
                      <w:rFonts w:ascii="Times New Roman" w:hAnsi="Times New Roman" w:eastAsia="宋体" w:cs="Times New Roman"/>
                      <w:sz w:val="24"/>
                      <w:szCs w:val="24"/>
                    </w:rPr>
                    <w:t>[0-5] %</w:t>
                  </w:r>
                </w:p>
              </w:tc>
            </w:tr>
          </w:tbl>
          <w:p>
            <w:pPr>
              <w:rPr>
                <w:rFonts w:ascii="Times New Roman" w:hAnsi="Times New Roman"/>
                <w:kern w:val="0"/>
                <w:sz w:val="24"/>
                <w:szCs w:val="24"/>
                <w:lang w:eastAsia="zh-Hans"/>
              </w:rPr>
            </w:pPr>
          </w:p>
        </w:tc>
      </w:tr>
    </w:tbl>
    <w:p>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等线">
    <w:altName w:val="微软雅黑"/>
    <w:panose1 w:val="00000000000000000000"/>
    <w:charset w:val="00"/>
    <w:family w:val="auto"/>
    <w:pitch w:val="default"/>
    <w:sig w:usb0="00000000" w:usb1="00000000" w:usb2="00000000" w:usb3="00000000" w:csb0="00000000" w:csb1="00000000"/>
  </w:font>
  <w:font w:name="Arial">
    <w:altName w:val="Times New Roman"/>
    <w:panose1 w:val="020B0604020202020204"/>
    <w:charset w:val="00"/>
    <w:family w:val="swiss"/>
    <w:pitch w:val="default"/>
    <w:sig w:usb0="00000000" w:usb1="00000000" w:usb2="00000009" w:usb3="00000000" w:csb0="000001FF" w:csb1="00000000"/>
  </w:font>
  <w:font w:name="Wingdings 2">
    <w:panose1 w:val="05020102010507070707"/>
    <w:charset w:val="00"/>
    <w:family w:val="decorative"/>
    <w:pitch w:val="default"/>
    <w:sig w:usb0="00000000" w:usb1="00000000" w:usb2="00000000" w:usb3="00000000" w:csb0="8000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微软雅黑">
    <w:panose1 w:val="020B0503020204020204"/>
    <w:charset w:val="86"/>
    <w:family w:val="auto"/>
    <w:pitch w:val="default"/>
    <w:sig w:usb0="80000287" w:usb1="2A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E030E0"/>
    <w:multiLevelType w:val="multilevel"/>
    <w:tmpl w:val="3FE030E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revisionView w:markup="0"/>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5NjcyNzlkNTJjZjlkYTVhYTVkZGIzYzg3NjYwNjQifQ=="/>
  </w:docVars>
  <w:rsids>
    <w:rsidRoot w:val="00CB00DF"/>
    <w:rsid w:val="00037065"/>
    <w:rsid w:val="00064061"/>
    <w:rsid w:val="000815B0"/>
    <w:rsid w:val="000B7A90"/>
    <w:rsid w:val="000D4991"/>
    <w:rsid w:val="000D7EBA"/>
    <w:rsid w:val="001164CD"/>
    <w:rsid w:val="00137569"/>
    <w:rsid w:val="001402FD"/>
    <w:rsid w:val="00155717"/>
    <w:rsid w:val="001778C3"/>
    <w:rsid w:val="001837A3"/>
    <w:rsid w:val="001B0141"/>
    <w:rsid w:val="001D7A51"/>
    <w:rsid w:val="00205D8E"/>
    <w:rsid w:val="00233EB8"/>
    <w:rsid w:val="002576DC"/>
    <w:rsid w:val="00276E41"/>
    <w:rsid w:val="002A2694"/>
    <w:rsid w:val="002F5393"/>
    <w:rsid w:val="003C02DF"/>
    <w:rsid w:val="003C0AEB"/>
    <w:rsid w:val="004212BF"/>
    <w:rsid w:val="0042643E"/>
    <w:rsid w:val="00475DF1"/>
    <w:rsid w:val="004C1141"/>
    <w:rsid w:val="004F7688"/>
    <w:rsid w:val="005C0CF3"/>
    <w:rsid w:val="005E2DE9"/>
    <w:rsid w:val="00632E13"/>
    <w:rsid w:val="006467D8"/>
    <w:rsid w:val="006A531B"/>
    <w:rsid w:val="006F7693"/>
    <w:rsid w:val="00710140"/>
    <w:rsid w:val="00732F81"/>
    <w:rsid w:val="00764C4D"/>
    <w:rsid w:val="007F2275"/>
    <w:rsid w:val="00861FC1"/>
    <w:rsid w:val="00867C7F"/>
    <w:rsid w:val="00903EC5"/>
    <w:rsid w:val="00904677"/>
    <w:rsid w:val="00915F0F"/>
    <w:rsid w:val="009206DB"/>
    <w:rsid w:val="00933E33"/>
    <w:rsid w:val="00940EC5"/>
    <w:rsid w:val="00942282"/>
    <w:rsid w:val="009532DF"/>
    <w:rsid w:val="0098612F"/>
    <w:rsid w:val="00997019"/>
    <w:rsid w:val="009A4E20"/>
    <w:rsid w:val="009A5029"/>
    <w:rsid w:val="009D38D5"/>
    <w:rsid w:val="00A53F26"/>
    <w:rsid w:val="00AA0CC5"/>
    <w:rsid w:val="00B16AFE"/>
    <w:rsid w:val="00B306A8"/>
    <w:rsid w:val="00B45EC1"/>
    <w:rsid w:val="00B65DD5"/>
    <w:rsid w:val="00BD10B6"/>
    <w:rsid w:val="00C07076"/>
    <w:rsid w:val="00C44212"/>
    <w:rsid w:val="00CB00DF"/>
    <w:rsid w:val="00CC6BAD"/>
    <w:rsid w:val="00CF6A52"/>
    <w:rsid w:val="00D72C81"/>
    <w:rsid w:val="00D73C72"/>
    <w:rsid w:val="00DE5F5F"/>
    <w:rsid w:val="00E0592B"/>
    <w:rsid w:val="00E31738"/>
    <w:rsid w:val="00E5072E"/>
    <w:rsid w:val="00E86786"/>
    <w:rsid w:val="00E87967"/>
    <w:rsid w:val="00ED2F80"/>
    <w:rsid w:val="00ED7D2B"/>
    <w:rsid w:val="00F025D6"/>
    <w:rsid w:val="00F1624E"/>
    <w:rsid w:val="00F32F8A"/>
    <w:rsid w:val="00F810AA"/>
    <w:rsid w:val="00FB43EC"/>
    <w:rsid w:val="00FB6B40"/>
    <w:rsid w:val="00FE01AC"/>
    <w:rsid w:val="24283674"/>
    <w:rsid w:val="28CB090C"/>
    <w:rsid w:val="2FDED330"/>
    <w:rsid w:val="30824938"/>
    <w:rsid w:val="3DEF9E6D"/>
    <w:rsid w:val="43A00AA1"/>
    <w:rsid w:val="4E6A0907"/>
    <w:rsid w:val="562C39D0"/>
    <w:rsid w:val="56A575A6"/>
    <w:rsid w:val="68FF85D9"/>
    <w:rsid w:val="76FFBD70"/>
    <w:rsid w:val="77CE6799"/>
    <w:rsid w:val="7B7B21F1"/>
    <w:rsid w:val="7FEBA649"/>
    <w:rsid w:val="7FFBE99F"/>
    <w:rsid w:val="AB9FD893"/>
    <w:rsid w:val="FBF7E480"/>
    <w:rsid w:val="FDDFA02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unhideWhenUsed/>
    <w:qFormat/>
    <w:uiPriority w:val="99"/>
    <w:pPr>
      <w:jc w:val="left"/>
    </w:p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annotation subject"/>
    <w:basedOn w:val="2"/>
    <w:next w:val="2"/>
    <w:link w:val="13"/>
    <w:semiHidden/>
    <w:unhideWhenUsed/>
    <w:qFormat/>
    <w:uiPriority w:val="99"/>
    <w:rPr>
      <w:b/>
      <w:bCs/>
    </w:rPr>
  </w:style>
  <w:style w:type="table" w:styleId="7">
    <w:name w:val="Table Grid"/>
    <w:basedOn w:val="6"/>
    <w:qFormat/>
    <w:uiPriority w:val="39"/>
    <w:rPr>
      <w:rFonts w:asciiTheme="minorHAnsi" w:hAnsiTheme="minorHAnsi" w:eastAsiaTheme="minorEastAsia" w:cstheme="minorBidi"/>
      <w:kern w:val="2"/>
      <w:sz w:val="21"/>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4"/>
    <w:qFormat/>
    <w:uiPriority w:val="99"/>
    <w:rPr>
      <w:rFonts w:ascii="Calibri" w:hAnsi="Calibri"/>
      <w:kern w:val="2"/>
      <w:sz w:val="18"/>
      <w:szCs w:val="18"/>
    </w:rPr>
  </w:style>
  <w:style w:type="character" w:customStyle="1" w:styleId="11">
    <w:name w:val="页脚 字符"/>
    <w:basedOn w:val="8"/>
    <w:link w:val="3"/>
    <w:qFormat/>
    <w:uiPriority w:val="99"/>
    <w:rPr>
      <w:rFonts w:ascii="Calibri" w:hAnsi="Calibri"/>
      <w:kern w:val="2"/>
      <w:sz w:val="18"/>
      <w:szCs w:val="18"/>
    </w:rPr>
  </w:style>
  <w:style w:type="character" w:customStyle="1" w:styleId="12">
    <w:name w:val="批注文字 字符"/>
    <w:basedOn w:val="8"/>
    <w:link w:val="2"/>
    <w:qFormat/>
    <w:uiPriority w:val="99"/>
    <w:rPr>
      <w:rFonts w:ascii="Calibri" w:hAnsi="Calibri"/>
      <w:kern w:val="2"/>
      <w:sz w:val="21"/>
      <w:szCs w:val="22"/>
    </w:rPr>
  </w:style>
  <w:style w:type="character" w:customStyle="1" w:styleId="13">
    <w:name w:val="批注主题 字符"/>
    <w:basedOn w:val="12"/>
    <w:link w:val="5"/>
    <w:semiHidden/>
    <w:qFormat/>
    <w:uiPriority w:val="99"/>
    <w:rPr>
      <w:rFonts w:ascii="Calibri" w:hAnsi="Calibri"/>
      <w:b/>
      <w:bCs/>
      <w:kern w:val="2"/>
      <w:sz w:val="21"/>
      <w:szCs w:val="22"/>
    </w:rPr>
  </w:style>
  <w:style w:type="paragraph" w:styleId="14">
    <w:name w:val="List Paragraph"/>
    <w:basedOn w:val="1"/>
    <w:qFormat/>
    <w:uiPriority w:val="34"/>
    <w:pPr>
      <w:widowControl/>
      <w:ind w:firstLine="420" w:firstLineChars="200"/>
      <w:jc w:val="left"/>
    </w:pPr>
    <w:rPr>
      <w:rFonts w:ascii="宋体" w:hAnsi="宋体" w:cs="宋体"/>
      <w:kern w:val="0"/>
      <w:sz w:val="24"/>
      <w:szCs w:val="24"/>
    </w:rPr>
  </w:style>
  <w:style w:type="paragraph" w:customStyle="1" w:styleId="15">
    <w:name w:val="修订1"/>
    <w:hidden/>
    <w:semiHidden/>
    <w:qFormat/>
    <w:uiPriority w:val="99"/>
    <w:rPr>
      <w:rFonts w:ascii="Calibri" w:hAnsi="Calibri" w:eastAsia="宋体" w:cs="Times New Roman"/>
      <w:kern w:val="2"/>
      <w:sz w:val="21"/>
      <w:szCs w:val="22"/>
      <w:lang w:val="en-US" w:eastAsia="zh-CN" w:bidi="ar-SA"/>
    </w:rPr>
  </w:style>
  <w:style w:type="paragraph" w:customStyle="1" w:styleId="16">
    <w:name w:val="修订2"/>
    <w:hidden/>
    <w:semiHidden/>
    <w:qFormat/>
    <w:uiPriority w:val="99"/>
    <w:rPr>
      <w:rFonts w:ascii="Calibri" w:hAnsi="Calibri" w:eastAsia="宋体" w:cs="Times New Roman"/>
      <w:kern w:val="2"/>
      <w:sz w:val="21"/>
      <w:szCs w:val="22"/>
      <w:lang w:val="en-US" w:eastAsia="zh-CN" w:bidi="ar-SA"/>
    </w:rPr>
  </w:style>
  <w:style w:type="paragraph" w:customStyle="1" w:styleId="17">
    <w:name w:val="Body"/>
    <w:basedOn w:val="1"/>
    <w:qFormat/>
    <w:uiPriority w:val="0"/>
    <w:pPr>
      <w:widowControl/>
      <w:spacing w:after="140" w:line="290" w:lineRule="auto"/>
    </w:pPr>
    <w:rPr>
      <w:rFonts w:ascii="Arial" w:hAnsi="Arial"/>
      <w:kern w:val="20"/>
      <w:sz w:val="20"/>
      <w:szCs w:val="24"/>
      <w:lang w:val="en-GB" w:eastAsia="en-GB"/>
    </w:rPr>
  </w:style>
  <w:style w:type="paragraph" w:customStyle="1" w:styleId="18">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219</Words>
  <Characters>1252</Characters>
  <Lines>10</Lines>
  <Paragraphs>2</Paragraphs>
  <TotalTime>10</TotalTime>
  <ScaleCrop>false</ScaleCrop>
  <LinksUpToDate>false</LinksUpToDate>
  <CharactersWithSpaces>1469</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2018-09-30T18:33:00Z</dcterms:created>
  <dc:creator>陈媚</dc:creator>
  <cp:lastModifiedBy>oa</cp:lastModifiedBy>
  <dcterms:modified xsi:type="dcterms:W3CDTF">2022-05-22T18:45:38Z</dcterms:modified>
  <dc:title>经营者集中简易案件公示表</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ICV">
    <vt:lpwstr>E2D4EE18FF32463ABA0F2B2568400710</vt:lpwstr>
  </property>
</Properties>
</file>