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after="0"/>
        <w:jc w:val="center"/>
        <w:rPr>
          <w:rFonts w:ascii="SimHei" w:hAnsi="SimHei" w:eastAsia="SimHei"/>
          <w:sz w:val="36"/>
          <w:szCs w:val="36"/>
        </w:rPr>
      </w:pPr>
      <w:bookmarkStart w:id="0" w:name="_GoBack"/>
      <w:bookmarkEnd w:id="0"/>
      <w:r>
        <w:rPr>
          <w:rFonts w:hint="eastAsia" w:ascii="SimHei" w:hAnsi="SimHei" w:eastAsia="SimHei"/>
          <w:sz w:val="36"/>
          <w:szCs w:val="36"/>
        </w:rPr>
        <w:t>经营者集中简易案件公示表</w:t>
      </w:r>
    </w:p>
    <w:p>
      <w:pPr>
        <w:snapToGrid w:val="0"/>
        <w:spacing w:after="0"/>
        <w:jc w:val="center"/>
        <w:rPr>
          <w:rFonts w:ascii="SimHei" w:hAnsi="SimHei" w:eastAsia="SimHei"/>
          <w:b/>
          <w:bCs/>
          <w:lang w:val="en-US" w:bidi="ar-SA"/>
        </w:rPr>
      </w:pPr>
    </w:p>
    <w:tbl>
      <w:tblPr>
        <w:tblStyle w:val="4"/>
        <w:tblW w:w="87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237"/>
        <w:gridCol w:w="47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snapToGrid w:val="0"/>
              <w:spacing w:after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案件名称</w:t>
            </w:r>
          </w:p>
        </w:tc>
        <w:tc>
          <w:tcPr>
            <w:tcW w:w="69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after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达能亚太控股有限公司收购多美滋婴幼儿食品有限公司股权案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snapToGrid w:val="0"/>
              <w:spacing w:after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交易概况</w:t>
            </w:r>
          </w:p>
          <w:p>
            <w:pPr>
              <w:snapToGrid w:val="0"/>
              <w:spacing w:after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（限</w:t>
            </w:r>
            <w:r>
              <w:rPr>
                <w:rFonts w:ascii="宋体" w:hAnsi="宋体"/>
              </w:rPr>
              <w:t>200</w:t>
            </w:r>
            <w:r>
              <w:rPr>
                <w:rFonts w:hint="eastAsia" w:ascii="宋体" w:hAnsi="宋体"/>
              </w:rPr>
              <w:t>字内）</w:t>
            </w:r>
          </w:p>
        </w:tc>
        <w:tc>
          <w:tcPr>
            <w:tcW w:w="69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 w:val="0"/>
              <w:spacing w:after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本交易涉及达能亚太控股有限公司（</w:t>
            </w:r>
            <w:r>
              <w:rPr>
                <w:rFonts w:ascii="宋体" w:hAnsi="宋体"/>
                <w:lang w:val="en-US"/>
              </w:rPr>
              <w:t>Danone Asia Pacific Holdings Pte. Ltd.</w:t>
            </w:r>
            <w:r>
              <w:rPr>
                <w:rFonts w:hint="eastAsia" w:ascii="宋体" w:hAnsi="宋体"/>
                <w:lang w:val="en-US"/>
              </w:rPr>
              <w:t>,</w:t>
            </w:r>
            <w:r>
              <w:rPr>
                <w:rFonts w:hint="eastAsia" w:ascii="宋体" w:hAnsi="宋体"/>
              </w:rPr>
              <w:t>“达能亚太”）收购多美滋婴幼儿食品有限公司（“多美滋中国”）全部股权事宜。交易前，多美滋中国由雅士利国际集团有限公司全资持有。交易后，多美滋中国（不包括雅士利贸易业务）将由达能亚太全资所有并由其单独控制，并由达能股份公司（Danone</w:t>
            </w:r>
            <w:r>
              <w:rPr>
                <w:rFonts w:ascii="宋体" w:hAnsi="宋体"/>
              </w:rPr>
              <w:t xml:space="preserve"> SA</w:t>
            </w:r>
            <w:r>
              <w:rPr>
                <w:rFonts w:hint="eastAsia" w:ascii="宋体" w:hAnsi="宋体"/>
              </w:rPr>
              <w:t>）间接控制。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snapToGrid w:val="0"/>
              <w:spacing w:after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参与集中的</w:t>
            </w:r>
          </w:p>
          <w:p>
            <w:pPr>
              <w:snapToGrid w:val="0"/>
              <w:spacing w:after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经营者简介</w:t>
            </w:r>
          </w:p>
        </w:tc>
        <w:tc>
          <w:tcPr>
            <w:tcW w:w="2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 w:val="0"/>
              <w:spacing w:after="0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1、达能亚太</w:t>
            </w:r>
          </w:p>
        </w:tc>
        <w:tc>
          <w:tcPr>
            <w:tcW w:w="4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after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达能亚太于2005年12月在新加坡成立。它是一家投资控股公司并为达能集团进行原材料采购。</w:t>
            </w:r>
          </w:p>
          <w:p>
            <w:pPr>
              <w:snapToGrid w:val="0"/>
              <w:spacing w:after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达能亚太的最终控制人是达能股份公司，一家全球性食品饮料公司。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left"/>
              <w:rPr>
                <w:rFonts w:ascii="宋体" w:hAnsi="宋体"/>
              </w:rPr>
            </w:pPr>
          </w:p>
        </w:tc>
        <w:tc>
          <w:tcPr>
            <w:tcW w:w="2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 w:val="0"/>
              <w:spacing w:after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2、多美滋中国</w:t>
            </w:r>
          </w:p>
        </w:tc>
        <w:tc>
          <w:tcPr>
            <w:tcW w:w="4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 w:val="0"/>
              <w:spacing w:after="0"/>
              <w:rPr>
                <w:rFonts w:ascii="宋体" w:hAnsi="宋体"/>
                <w:kern w:val="2"/>
              </w:rPr>
            </w:pPr>
            <w:r>
              <w:rPr>
                <w:rFonts w:hint="eastAsia" w:ascii="宋体" w:hAnsi="宋体"/>
                <w:kern w:val="2"/>
              </w:rPr>
              <w:t>多美滋中国于1992年8月在中国成立。</w:t>
            </w:r>
            <w:r>
              <w:rPr>
                <w:rFonts w:ascii="宋体" w:hAnsi="宋体"/>
                <w:kern w:val="2"/>
              </w:rPr>
              <w:t>多美滋中国</w:t>
            </w:r>
            <w:r>
              <w:rPr>
                <w:rFonts w:hint="eastAsia" w:ascii="宋体" w:hAnsi="宋体"/>
                <w:kern w:val="2"/>
              </w:rPr>
              <w:t>（不包括雅士利贸易业务）</w:t>
            </w:r>
            <w:r>
              <w:rPr>
                <w:rFonts w:ascii="宋体" w:hAnsi="宋体"/>
                <w:kern w:val="2"/>
              </w:rPr>
              <w:t>仅在中国从事婴</w:t>
            </w:r>
            <w:r>
              <w:rPr>
                <w:rFonts w:hint="eastAsia" w:ascii="宋体" w:hAnsi="宋体"/>
                <w:kern w:val="2"/>
              </w:rPr>
              <w:t>幼儿</w:t>
            </w:r>
            <w:r>
              <w:rPr>
                <w:rFonts w:ascii="宋体" w:hAnsi="宋体"/>
                <w:kern w:val="2"/>
              </w:rPr>
              <w:t>配方</w:t>
            </w:r>
            <w:r>
              <w:rPr>
                <w:rFonts w:hint="eastAsia" w:ascii="宋体" w:hAnsi="宋体"/>
                <w:kern w:val="2"/>
              </w:rPr>
              <w:t>奶粉</w:t>
            </w:r>
            <w:r>
              <w:rPr>
                <w:rFonts w:ascii="宋体" w:hAnsi="宋体"/>
                <w:kern w:val="2"/>
              </w:rPr>
              <w:t>和儿童奶粉业务，在中国以外并不开展任何业务</w:t>
            </w:r>
            <w:r>
              <w:rPr>
                <w:rFonts w:hint="eastAsia" w:ascii="宋体" w:hAnsi="宋体"/>
                <w:kern w:val="2"/>
              </w:rPr>
              <w:t>。</w:t>
            </w:r>
          </w:p>
          <w:p>
            <w:pPr>
              <w:snapToGrid w:val="0"/>
              <w:spacing w:after="0"/>
              <w:rPr>
                <w:rFonts w:hint="eastAsia" w:ascii="宋体" w:hAnsi="宋体"/>
                <w:kern w:val="2"/>
              </w:rPr>
            </w:pPr>
            <w:r>
              <w:rPr>
                <w:rFonts w:hint="eastAsia" w:ascii="宋体" w:hAnsi="宋体"/>
                <w:kern w:val="2"/>
              </w:rPr>
              <w:t>多美滋中国的最终控制人是中粮集团。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snapToGrid w:val="0"/>
              <w:spacing w:after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简易案件理由（可以单选，也可以多选）</w:t>
            </w:r>
          </w:p>
        </w:tc>
        <w:tc>
          <w:tcPr>
            <w:tcW w:w="69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after="0"/>
              <w:rPr>
                <w:rFonts w:ascii="宋体" w:hAnsi="宋体"/>
              </w:rPr>
            </w:pPr>
            <w:r>
              <w:rPr>
                <w:rFonts w:ascii="宋体" w:hAnsi="宋体"/>
              </w:rPr>
              <w:sym w:font="Wingdings" w:char="F0FE"/>
            </w:r>
            <w:r>
              <w:rPr>
                <w:rFonts w:ascii="宋体" w:hAnsi="宋体"/>
              </w:rPr>
              <w:t xml:space="preserve"> 1.</w:t>
            </w:r>
            <w:r>
              <w:rPr>
                <w:rFonts w:hint="eastAsia" w:ascii="宋体" w:hAnsi="宋体"/>
              </w:rPr>
              <w:t>在同一相关市场，所有参与集中的经营者所占市场份额之和小于</w:t>
            </w:r>
            <w:r>
              <w:rPr>
                <w:rFonts w:ascii="宋体" w:hAnsi="宋体"/>
              </w:rPr>
              <w:t>15%</w:t>
            </w:r>
            <w:r>
              <w:rPr>
                <w:rFonts w:hint="eastAsia" w:ascii="宋体" w:hAnsi="宋体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left"/>
              <w:rPr>
                <w:rFonts w:ascii="宋体" w:hAnsi="宋体"/>
              </w:rPr>
            </w:pPr>
          </w:p>
        </w:tc>
        <w:tc>
          <w:tcPr>
            <w:tcW w:w="69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after="0"/>
              <w:rPr>
                <w:rFonts w:ascii="宋体" w:hAnsi="宋体"/>
              </w:rPr>
            </w:pPr>
            <w:r>
              <w:rPr>
                <w:rFonts w:ascii="宋体" w:hAnsi="宋体"/>
              </w:rPr>
              <w:sym w:font="Wingdings" w:char="F0A8"/>
            </w:r>
            <w:r>
              <w:rPr>
                <w:rFonts w:ascii="宋体" w:hAnsi="宋体"/>
              </w:rPr>
              <w:t xml:space="preserve"> 2.</w:t>
            </w:r>
            <w:r>
              <w:rPr>
                <w:rFonts w:hint="eastAsia" w:ascii="宋体" w:hAnsi="宋体"/>
              </w:rPr>
              <w:t>存在上下游关系的参与集中的经营者，在上下游市场所占的市场份额均小于</w:t>
            </w:r>
            <w:r>
              <w:rPr>
                <w:rFonts w:ascii="宋体" w:hAnsi="宋体"/>
              </w:rPr>
              <w:t>25%</w:t>
            </w:r>
            <w:r>
              <w:rPr>
                <w:rFonts w:hint="eastAsia" w:ascii="宋体" w:hAnsi="宋体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left"/>
              <w:rPr>
                <w:rFonts w:ascii="宋体" w:hAnsi="宋体"/>
              </w:rPr>
            </w:pPr>
          </w:p>
        </w:tc>
        <w:tc>
          <w:tcPr>
            <w:tcW w:w="69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after="0"/>
              <w:rPr>
                <w:rFonts w:ascii="宋体" w:hAnsi="宋体"/>
              </w:rPr>
            </w:pPr>
            <w:r>
              <w:rPr>
                <w:rFonts w:ascii="宋体" w:hAnsi="宋体"/>
              </w:rPr>
              <w:sym w:font="Wingdings" w:char="F0A8"/>
            </w:r>
            <w:r>
              <w:rPr>
                <w:rFonts w:ascii="宋体" w:hAnsi="宋体"/>
              </w:rPr>
              <w:t xml:space="preserve"> 3.</w:t>
            </w:r>
            <w:r>
              <w:rPr>
                <w:rFonts w:hint="eastAsia" w:ascii="宋体" w:hAnsi="宋体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宋体" w:hAnsi="宋体"/>
              </w:rPr>
              <w:t>25%</w:t>
            </w:r>
            <w:r>
              <w:rPr>
                <w:rFonts w:hint="eastAsia" w:ascii="宋体" w:hAnsi="宋体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left"/>
              <w:rPr>
                <w:rFonts w:ascii="宋体" w:hAnsi="宋体"/>
              </w:rPr>
            </w:pPr>
          </w:p>
        </w:tc>
        <w:tc>
          <w:tcPr>
            <w:tcW w:w="69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after="0"/>
              <w:rPr>
                <w:rFonts w:ascii="宋体" w:hAnsi="宋体"/>
              </w:rPr>
            </w:pPr>
            <w:r>
              <w:rPr>
                <w:rFonts w:ascii="宋体" w:hAnsi="宋体"/>
              </w:rPr>
              <w:sym w:font="Wingdings" w:char="F0A8"/>
            </w:r>
            <w:r>
              <w:rPr>
                <w:rFonts w:ascii="宋体" w:hAnsi="宋体"/>
              </w:rPr>
              <w:t xml:space="preserve"> 4.</w:t>
            </w:r>
            <w:r>
              <w:rPr>
                <w:rFonts w:hint="eastAsia" w:ascii="宋体" w:hAnsi="宋体"/>
              </w:rPr>
              <w:t>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left"/>
              <w:rPr>
                <w:rFonts w:ascii="宋体" w:hAnsi="宋体"/>
              </w:rPr>
            </w:pPr>
          </w:p>
        </w:tc>
        <w:tc>
          <w:tcPr>
            <w:tcW w:w="69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after="0"/>
              <w:rPr>
                <w:rFonts w:ascii="宋体" w:hAnsi="宋体"/>
              </w:rPr>
            </w:pPr>
            <w:r>
              <w:rPr>
                <w:rFonts w:ascii="宋体" w:hAnsi="宋体"/>
              </w:rPr>
              <w:sym w:font="Wingdings" w:char="F0A8"/>
            </w:r>
            <w:r>
              <w:rPr>
                <w:rFonts w:ascii="宋体" w:hAnsi="宋体"/>
              </w:rPr>
              <w:t xml:space="preserve"> 5.</w:t>
            </w:r>
            <w:r>
              <w:rPr>
                <w:rFonts w:hint="eastAsia" w:ascii="宋体" w:hAnsi="宋体"/>
              </w:rPr>
              <w:t>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left"/>
              <w:rPr>
                <w:rFonts w:ascii="宋体" w:hAnsi="宋体"/>
              </w:rPr>
            </w:pPr>
          </w:p>
        </w:tc>
        <w:tc>
          <w:tcPr>
            <w:tcW w:w="69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after="0"/>
              <w:rPr>
                <w:rFonts w:ascii="宋体" w:hAnsi="宋体"/>
              </w:rPr>
            </w:pPr>
            <w:r>
              <w:rPr>
                <w:rFonts w:ascii="宋体" w:hAnsi="宋体"/>
              </w:rPr>
              <w:sym w:font="Wingdings" w:char="F0A8"/>
            </w:r>
            <w:r>
              <w:rPr>
                <w:rFonts w:ascii="宋体" w:hAnsi="宋体"/>
              </w:rPr>
              <w:t xml:space="preserve"> 6.</w:t>
            </w:r>
            <w:r>
              <w:rPr>
                <w:rFonts w:hint="eastAsia" w:ascii="宋体" w:hAnsi="宋体"/>
              </w:rPr>
              <w:t>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snapToGrid w:val="0"/>
              <w:spacing w:after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  <w:tc>
          <w:tcPr>
            <w:tcW w:w="69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 w:val="0"/>
              <w:spacing w:after="0"/>
              <w:rPr>
                <w:rFonts w:ascii="宋体" w:hAnsi="宋体"/>
                <w:b/>
                <w:bCs/>
                <w:kern w:val="2"/>
              </w:rPr>
            </w:pPr>
            <w:r>
              <w:rPr>
                <w:rFonts w:hint="eastAsia" w:ascii="宋体" w:hAnsi="宋体"/>
                <w:b/>
                <w:bCs/>
                <w:kern w:val="2"/>
              </w:rPr>
              <w:t>横向重叠：</w:t>
            </w:r>
          </w:p>
          <w:p>
            <w:pPr>
              <w:snapToGrid w:val="0"/>
              <w:spacing w:after="0"/>
              <w:rPr>
                <w:rFonts w:ascii="宋体" w:hAnsi="宋体"/>
                <w:kern w:val="2"/>
              </w:rPr>
            </w:pPr>
            <w:r>
              <w:rPr>
                <w:rFonts w:hint="eastAsia" w:ascii="宋体" w:hAnsi="宋体"/>
                <w:kern w:val="2"/>
              </w:rPr>
              <w:t>1、</w:t>
            </w:r>
            <w:r>
              <w:rPr>
                <w:rFonts w:ascii="宋体" w:hAnsi="宋体"/>
                <w:kern w:val="2"/>
              </w:rPr>
              <w:t>2021</w:t>
            </w:r>
            <w:r>
              <w:rPr>
                <w:rFonts w:hint="eastAsia" w:ascii="宋体" w:hAnsi="宋体"/>
                <w:kern w:val="2"/>
              </w:rPr>
              <w:t>年中国境内婴幼儿配方奶粉市场</w:t>
            </w:r>
          </w:p>
          <w:p>
            <w:pPr>
              <w:snapToGrid w:val="0"/>
              <w:spacing w:after="0"/>
              <w:rPr>
                <w:rFonts w:ascii="宋体" w:hAnsi="宋体"/>
                <w:kern w:val="2"/>
              </w:rPr>
            </w:pPr>
            <w:r>
              <w:rPr>
                <w:rFonts w:hint="eastAsia" w:ascii="宋体" w:hAnsi="宋体"/>
                <w:kern w:val="2"/>
              </w:rPr>
              <w:t>达能集团：1</w:t>
            </w:r>
            <w:r>
              <w:rPr>
                <w:rFonts w:ascii="宋体" w:hAnsi="宋体"/>
                <w:kern w:val="2"/>
              </w:rPr>
              <w:t>0</w:t>
            </w:r>
            <w:r>
              <w:rPr>
                <w:rFonts w:hint="eastAsia" w:ascii="宋体" w:hAnsi="宋体"/>
                <w:kern w:val="2"/>
              </w:rPr>
              <w:t>-</w:t>
            </w:r>
            <w:r>
              <w:rPr>
                <w:rFonts w:ascii="宋体" w:hAnsi="宋体"/>
                <w:kern w:val="2"/>
              </w:rPr>
              <w:t>15</w:t>
            </w:r>
            <w:r>
              <w:rPr>
                <w:rFonts w:hint="eastAsia" w:ascii="宋体" w:hAnsi="宋体"/>
                <w:kern w:val="2"/>
              </w:rPr>
              <w:t>%，多美滋中国：0-</w:t>
            </w:r>
            <w:r>
              <w:rPr>
                <w:rFonts w:ascii="宋体" w:hAnsi="宋体"/>
                <w:kern w:val="2"/>
              </w:rPr>
              <w:t>5</w:t>
            </w:r>
            <w:r>
              <w:rPr>
                <w:rFonts w:hint="eastAsia" w:ascii="宋体" w:hAnsi="宋体"/>
                <w:kern w:val="2"/>
              </w:rPr>
              <w:t>%，各方合计：1</w:t>
            </w:r>
            <w:r>
              <w:rPr>
                <w:rFonts w:ascii="宋体" w:hAnsi="宋体"/>
                <w:kern w:val="2"/>
              </w:rPr>
              <w:t>0</w:t>
            </w:r>
            <w:r>
              <w:rPr>
                <w:rFonts w:hint="eastAsia" w:ascii="宋体" w:hAnsi="宋体"/>
                <w:kern w:val="2"/>
              </w:rPr>
              <w:t>-</w:t>
            </w:r>
            <w:r>
              <w:rPr>
                <w:rFonts w:ascii="宋体" w:hAnsi="宋体"/>
                <w:kern w:val="2"/>
              </w:rPr>
              <w:t>15</w:t>
            </w:r>
            <w:r>
              <w:rPr>
                <w:rFonts w:hint="eastAsia" w:ascii="宋体" w:hAnsi="宋体"/>
                <w:kern w:val="2"/>
              </w:rPr>
              <w:t>%</w:t>
            </w:r>
          </w:p>
          <w:p>
            <w:pPr>
              <w:snapToGrid w:val="0"/>
              <w:spacing w:after="0"/>
              <w:rPr>
                <w:rFonts w:ascii="宋体" w:hAnsi="宋体"/>
                <w:kern w:val="2"/>
              </w:rPr>
            </w:pPr>
            <w:r>
              <w:rPr>
                <w:rFonts w:hint="eastAsia" w:ascii="宋体" w:hAnsi="宋体"/>
                <w:kern w:val="2"/>
              </w:rPr>
              <w:t>2、</w:t>
            </w:r>
            <w:r>
              <w:rPr>
                <w:rFonts w:ascii="宋体" w:hAnsi="宋体"/>
                <w:kern w:val="2"/>
              </w:rPr>
              <w:t>2021</w:t>
            </w:r>
            <w:r>
              <w:rPr>
                <w:rFonts w:hint="eastAsia" w:ascii="宋体" w:hAnsi="宋体"/>
                <w:kern w:val="2"/>
              </w:rPr>
              <w:t>年中国境内儿童奶粉市场</w:t>
            </w:r>
          </w:p>
          <w:p>
            <w:pPr>
              <w:snapToGrid w:val="0"/>
              <w:spacing w:after="0"/>
              <w:rPr>
                <w:rFonts w:ascii="宋体" w:hAnsi="宋体"/>
                <w:kern w:val="2"/>
              </w:rPr>
            </w:pPr>
            <w:r>
              <w:rPr>
                <w:rFonts w:hint="eastAsia" w:ascii="宋体" w:hAnsi="宋体"/>
                <w:kern w:val="2"/>
              </w:rPr>
              <w:t>达能集团：1</w:t>
            </w:r>
            <w:r>
              <w:rPr>
                <w:rFonts w:ascii="宋体" w:hAnsi="宋体"/>
                <w:kern w:val="2"/>
              </w:rPr>
              <w:t>0</w:t>
            </w:r>
            <w:r>
              <w:rPr>
                <w:rFonts w:hint="eastAsia" w:ascii="宋体" w:hAnsi="宋体"/>
                <w:kern w:val="2"/>
              </w:rPr>
              <w:t>-</w:t>
            </w:r>
            <w:r>
              <w:rPr>
                <w:rFonts w:ascii="宋体" w:hAnsi="宋体"/>
                <w:kern w:val="2"/>
              </w:rPr>
              <w:t>15</w:t>
            </w:r>
            <w:r>
              <w:rPr>
                <w:rFonts w:hint="eastAsia" w:ascii="宋体" w:hAnsi="宋体"/>
                <w:kern w:val="2"/>
              </w:rPr>
              <w:t>%，多美滋中国：0-</w:t>
            </w:r>
            <w:r>
              <w:rPr>
                <w:rFonts w:ascii="宋体" w:hAnsi="宋体"/>
                <w:kern w:val="2"/>
              </w:rPr>
              <w:t>5</w:t>
            </w:r>
            <w:r>
              <w:rPr>
                <w:rFonts w:hint="eastAsia" w:ascii="宋体" w:hAnsi="宋体"/>
                <w:kern w:val="2"/>
              </w:rPr>
              <w:t>%，各方合计：1</w:t>
            </w:r>
            <w:r>
              <w:rPr>
                <w:rFonts w:ascii="宋体" w:hAnsi="宋体"/>
                <w:kern w:val="2"/>
              </w:rPr>
              <w:t>0</w:t>
            </w:r>
            <w:r>
              <w:rPr>
                <w:rFonts w:hint="eastAsia" w:ascii="宋体" w:hAnsi="宋体"/>
                <w:kern w:val="2"/>
              </w:rPr>
              <w:t>-</w:t>
            </w:r>
            <w:r>
              <w:rPr>
                <w:rFonts w:ascii="宋体" w:hAnsi="宋体"/>
                <w:kern w:val="2"/>
              </w:rPr>
              <w:t>15</w:t>
            </w:r>
            <w:r>
              <w:rPr>
                <w:rFonts w:hint="eastAsia" w:ascii="宋体" w:hAnsi="宋体"/>
                <w:kern w:val="2"/>
              </w:rPr>
              <w:t>%</w:t>
            </w:r>
          </w:p>
        </w:tc>
      </w:tr>
    </w:tbl>
    <w:p>
      <w:pPr>
        <w:spacing w:after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SI仿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true"/>
  <w:bordersDoNotSurroundFooter w:val="true"/>
  <w:revisionView w:markup="0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533"/>
    <w:rsid w:val="000B66C2"/>
    <w:rsid w:val="000F3B51"/>
    <w:rsid w:val="00167669"/>
    <w:rsid w:val="00310533"/>
    <w:rsid w:val="00315DB9"/>
    <w:rsid w:val="003935DE"/>
    <w:rsid w:val="005846C5"/>
    <w:rsid w:val="005C3C33"/>
    <w:rsid w:val="005D7B83"/>
    <w:rsid w:val="005E1160"/>
    <w:rsid w:val="00987CBF"/>
    <w:rsid w:val="009B3945"/>
    <w:rsid w:val="00AD6815"/>
    <w:rsid w:val="00BD45D8"/>
    <w:rsid w:val="00CB367C"/>
    <w:rsid w:val="00D066F8"/>
    <w:rsid w:val="00D62780"/>
    <w:rsid w:val="00E24B5B"/>
    <w:rsid w:val="00E40894"/>
    <w:rsid w:val="00E47714"/>
    <w:rsid w:val="00FB2AC9"/>
    <w:rsid w:val="EF55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kern w:val="0"/>
      <w:sz w:val="24"/>
      <w:szCs w:val="24"/>
      <w:lang w:val="en-GB" w:eastAsia="zh-CN" w:bidi="ar-AE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spacing w:after="0"/>
      <w:jc w:val="left"/>
    </w:pPr>
    <w:rPr>
      <w:rFonts w:asciiTheme="minorHAnsi" w:hAnsiTheme="minorHAnsi" w:eastAsiaTheme="minorEastAsia" w:cstheme="minorBidi"/>
      <w:kern w:val="2"/>
      <w:sz w:val="18"/>
      <w:szCs w:val="18"/>
      <w:lang w:val="en-US" w:bidi="ar-SA"/>
    </w:rPr>
  </w:style>
  <w:style w:type="paragraph" w:styleId="3">
    <w:name w:val="header"/>
    <w:basedOn w:val="1"/>
    <w:link w:val="6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0"/>
      <w:jc w:val="center"/>
    </w:pPr>
    <w:rPr>
      <w:rFonts w:asciiTheme="minorHAnsi" w:hAnsiTheme="minorHAnsi" w:eastAsiaTheme="minorEastAsia" w:cstheme="minorBidi"/>
      <w:kern w:val="2"/>
      <w:sz w:val="18"/>
      <w:szCs w:val="18"/>
      <w:lang w:val="en-US" w:bidi="ar-SA"/>
    </w:rPr>
  </w:style>
  <w:style w:type="character" w:customStyle="1" w:styleId="6">
    <w:name w:val="Header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Footer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FreshfieldsBruckhausDeringer</Company>
  <Pages>1</Pages>
  <Words>127</Words>
  <Characters>729</Characters>
  <Lines>6</Lines>
  <Paragraphs>1</Paragraphs>
  <TotalTime>3</TotalTime>
  <ScaleCrop>false</ScaleCrop>
  <LinksUpToDate>false</LinksUpToDate>
  <CharactersWithSpaces>855</CharactersWithSpaces>
  <Application>WPS Office_11.8.2.10458_F1E327BC-269C-435d-A152-05C5408002CA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2022-06-28T11:41:00Z</dcterms:created>
  <dc:creator>David JIANG</dc:creator>
  <cp:lastModifiedBy>greatwall</cp:lastModifiedBy>
  <dcterms:modified xsi:type="dcterms:W3CDTF">2022-06-28T17:29:57Z</dcterms:modified>
  <dc:title>经营者集中简易案件公示表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</Properties>
</file>