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ascii="Times New Roman" w:hAnsi="Times New Roman" w:eastAsia="黑体"/>
          <w:bCs/>
          <w:kern w:val="0"/>
          <w:sz w:val="36"/>
          <w:szCs w:val="36"/>
          <w:lang w:val="en-GB" w:bidi="ar-AE"/>
        </w:rPr>
      </w:pPr>
      <w:r>
        <w:rPr>
          <w:rFonts w:ascii="Times New Roman" w:hAnsi="Times New Roman" w:eastAsia="黑体"/>
          <w:bCs/>
          <w:kern w:val="0"/>
          <w:sz w:val="36"/>
          <w:szCs w:val="36"/>
          <w:lang w:val="en-GB" w:bidi="ar-AE"/>
        </w:rPr>
        <w:t>经营者集中简易案件公示表</w:t>
      </w:r>
    </w:p>
    <w:tbl>
      <w:tblPr>
        <w:tblStyle w:val="6"/>
        <w:tblW w:w="10065"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1796"/>
        <w:gridCol w:w="57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523" w:type="dxa"/>
            <w:shd w:val="clear" w:color="auto" w:fill="D9D9D9"/>
            <w:vAlign w:val="center"/>
          </w:tcPr>
          <w:p>
            <w:pPr>
              <w:rPr>
                <w:rFonts w:ascii="Times New Roman" w:hAnsi="Times New Roman"/>
                <w:bCs/>
                <w:sz w:val="24"/>
              </w:rPr>
            </w:pPr>
            <w:r>
              <w:rPr>
                <w:rFonts w:ascii="Times New Roman" w:hAnsi="Times New Roman"/>
                <w:bCs/>
                <w:color w:val="000000"/>
                <w:sz w:val="24"/>
                <w:lang w:val="en-GB"/>
              </w:rPr>
              <w:t>案件名称</w:t>
            </w:r>
          </w:p>
        </w:tc>
        <w:tc>
          <w:tcPr>
            <w:tcW w:w="7542" w:type="dxa"/>
            <w:gridSpan w:val="2"/>
          </w:tcPr>
          <w:p>
            <w:pPr>
              <w:rPr>
                <w:rFonts w:ascii="Times New Roman" w:hAnsi="Times New Roman"/>
                <w:sz w:val="24"/>
                <w:szCs w:val="24"/>
              </w:rPr>
            </w:pPr>
            <w:r>
              <w:rPr>
                <w:rFonts w:ascii="Times New Roman" w:hAnsi="Times New Roman"/>
                <w:kern w:val="0"/>
                <w:sz w:val="24"/>
                <w:szCs w:val="21"/>
                <w:lang w:val="en-GB"/>
              </w:rPr>
              <w:t>清湖资本集团有限合伙与TA联合管理有限合伙收购Ephesoft Inc.股权案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4" w:hRule="atLeast"/>
        </w:trPr>
        <w:tc>
          <w:tcPr>
            <w:tcW w:w="2523" w:type="dxa"/>
            <w:shd w:val="clear" w:color="auto" w:fill="D9D9D9"/>
            <w:vAlign w:val="center"/>
          </w:tcPr>
          <w:p>
            <w:pPr>
              <w:rPr>
                <w:rFonts w:ascii="Times New Roman" w:hAnsi="Times New Roman"/>
                <w:bCs/>
                <w:sz w:val="24"/>
              </w:rPr>
            </w:pPr>
            <w:r>
              <w:rPr>
                <w:rFonts w:ascii="Times New Roman" w:hAnsi="Times New Roman"/>
                <w:bCs/>
                <w:color w:val="000000"/>
                <w:sz w:val="24"/>
                <w:lang w:val="en-GB"/>
              </w:rPr>
              <w:t>交易概况（限200字内）</w:t>
            </w:r>
          </w:p>
        </w:tc>
        <w:tc>
          <w:tcPr>
            <w:tcW w:w="7542" w:type="dxa"/>
            <w:gridSpan w:val="2"/>
          </w:tcPr>
          <w:p>
            <w:pPr>
              <w:widowControl/>
              <w:snapToGrid w:val="0"/>
              <w:rPr>
                <w:rFonts w:ascii="Times New Roman" w:hAnsi="Times New Roman"/>
                <w:sz w:val="24"/>
                <w:szCs w:val="24"/>
                <w:lang w:val="en-GB"/>
              </w:rPr>
            </w:pPr>
            <w:r>
              <w:rPr>
                <w:rFonts w:hint="eastAsia" w:ascii="Times New Roman" w:hAnsi="Times New Roman"/>
                <w:sz w:val="24"/>
                <w:szCs w:val="24"/>
                <w:lang w:val="en-GB"/>
              </w:rPr>
              <w:t>2022年</w:t>
            </w:r>
            <w:r>
              <w:rPr>
                <w:rFonts w:ascii="Times New Roman" w:hAnsi="Times New Roman"/>
                <w:sz w:val="24"/>
                <w:szCs w:val="24"/>
                <w:lang w:val="en-GB"/>
              </w:rPr>
              <w:t>6</w:t>
            </w:r>
            <w:r>
              <w:rPr>
                <w:rFonts w:hint="eastAsia" w:ascii="Times New Roman" w:hAnsi="Times New Roman"/>
                <w:sz w:val="24"/>
                <w:szCs w:val="24"/>
                <w:lang w:val="en-GB"/>
              </w:rPr>
              <w:t>月</w:t>
            </w:r>
            <w:r>
              <w:rPr>
                <w:rFonts w:ascii="Times New Roman" w:hAnsi="Times New Roman"/>
                <w:sz w:val="24"/>
                <w:szCs w:val="24"/>
                <w:lang w:val="en-GB"/>
              </w:rPr>
              <w:t>5</w:t>
            </w:r>
            <w:r>
              <w:rPr>
                <w:rFonts w:hint="eastAsia" w:ascii="Times New Roman" w:hAnsi="Times New Roman"/>
                <w:sz w:val="24"/>
                <w:szCs w:val="24"/>
                <w:lang w:val="en-GB"/>
              </w:rPr>
              <w:t>日，</w:t>
            </w:r>
            <w:r>
              <w:rPr>
                <w:rFonts w:hint="eastAsia" w:ascii="Times New Roman" w:hAnsi="Times New Roman"/>
                <w:kern w:val="0"/>
                <w:sz w:val="24"/>
                <w:szCs w:val="24"/>
                <w:lang w:val="en-GB"/>
              </w:rPr>
              <w:t>TA联合管理有限合伙</w:t>
            </w:r>
            <w:r>
              <w:rPr>
                <w:rFonts w:hint="eastAsia" w:ascii="Times New Roman" w:hAnsi="Times New Roman"/>
                <w:sz w:val="24"/>
                <w:szCs w:val="24"/>
                <w:lang w:val="en-GB"/>
              </w:rPr>
              <w:t>（“</w:t>
            </w:r>
            <w:r>
              <w:rPr>
                <w:rFonts w:hint="eastAsia" w:ascii="Times New Roman" w:hAnsi="Times New Roman"/>
                <w:b/>
                <w:bCs/>
                <w:sz w:val="24"/>
                <w:szCs w:val="24"/>
                <w:lang w:val="en-GB"/>
              </w:rPr>
              <w:t>TA联合</w:t>
            </w:r>
            <w:r>
              <w:rPr>
                <w:rFonts w:hint="eastAsia" w:ascii="Times New Roman" w:hAnsi="Times New Roman"/>
                <w:sz w:val="24"/>
                <w:szCs w:val="24"/>
                <w:lang w:val="en-GB"/>
              </w:rPr>
              <w:t>”）通过其关联公司</w:t>
            </w:r>
            <w:r>
              <w:rPr>
                <w:rFonts w:ascii="Times New Roman" w:hAnsi="Times New Roman"/>
                <w:sz w:val="24"/>
                <w:szCs w:val="24"/>
                <w:lang w:val="en-GB"/>
              </w:rPr>
              <w:t>Snow Bidco Ltd.</w:t>
            </w:r>
            <w:r>
              <w:rPr>
                <w:rFonts w:hint="eastAsia" w:ascii="Times New Roman" w:hAnsi="Times New Roman"/>
                <w:sz w:val="24"/>
                <w:szCs w:val="24"/>
                <w:lang w:val="en-GB"/>
              </w:rPr>
              <w:t>与</w:t>
            </w:r>
            <w:r>
              <w:rPr>
                <w:rFonts w:ascii="Times New Roman" w:hAnsi="Times New Roman"/>
                <w:sz w:val="24"/>
                <w:szCs w:val="24"/>
                <w:lang w:val="en-GB"/>
              </w:rPr>
              <w:t>Ephesoft Inc.</w:t>
            </w:r>
            <w:r>
              <w:rPr>
                <w:rFonts w:hint="eastAsia" w:ascii="Times New Roman" w:hAnsi="Times New Roman"/>
                <w:sz w:val="24"/>
                <w:szCs w:val="24"/>
                <w:lang w:val="en-GB"/>
              </w:rPr>
              <w:t>（“</w:t>
            </w:r>
            <w:r>
              <w:rPr>
                <w:rFonts w:ascii="Times New Roman" w:hAnsi="Times New Roman"/>
                <w:b/>
                <w:bCs/>
                <w:sz w:val="24"/>
                <w:szCs w:val="24"/>
                <w:lang w:val="en-GB"/>
              </w:rPr>
              <w:t>Ephesoft</w:t>
            </w:r>
            <w:r>
              <w:rPr>
                <w:rFonts w:hint="eastAsia" w:ascii="Times New Roman" w:hAnsi="Times New Roman"/>
                <w:sz w:val="24"/>
                <w:szCs w:val="24"/>
                <w:lang w:val="en-GB"/>
              </w:rPr>
              <w:t>”）等签署《合并协议及计划》。根据协议，交割时，TA联合和清湖资本有限合伙（“</w:t>
            </w:r>
            <w:r>
              <w:rPr>
                <w:rFonts w:hint="eastAsia" w:ascii="Times New Roman" w:hAnsi="Times New Roman"/>
                <w:b/>
                <w:bCs/>
                <w:sz w:val="24"/>
                <w:szCs w:val="24"/>
                <w:lang w:val="en-GB"/>
              </w:rPr>
              <w:t>清湖资本</w:t>
            </w:r>
            <w:r>
              <w:rPr>
                <w:rFonts w:hint="eastAsia" w:ascii="Times New Roman" w:hAnsi="Times New Roman"/>
                <w:sz w:val="24"/>
                <w:szCs w:val="24"/>
                <w:lang w:val="en-GB"/>
              </w:rPr>
              <w:t>”）将间接收购</w:t>
            </w:r>
            <w:r>
              <w:rPr>
                <w:rFonts w:ascii="Times New Roman" w:hAnsi="Times New Roman"/>
                <w:sz w:val="24"/>
                <w:szCs w:val="24"/>
                <w:lang w:val="en-GB"/>
              </w:rPr>
              <w:t>E</w:t>
            </w:r>
            <w:r>
              <w:rPr>
                <w:rFonts w:hint="eastAsia" w:ascii="Times New Roman" w:hAnsi="Times New Roman"/>
                <w:sz w:val="24"/>
                <w:szCs w:val="24"/>
                <w:lang w:val="en-GB"/>
              </w:rPr>
              <w:t>phesoft</w:t>
            </w:r>
            <w:r>
              <w:rPr>
                <w:rFonts w:ascii="Times New Roman" w:hAnsi="Times New Roman"/>
                <w:sz w:val="24"/>
                <w:szCs w:val="24"/>
                <w:lang w:val="en-GB"/>
              </w:rPr>
              <w:t xml:space="preserve"> </w:t>
            </w:r>
            <w:r>
              <w:rPr>
                <w:rFonts w:hint="eastAsia" w:ascii="Times New Roman" w:hAnsi="Times New Roman"/>
                <w:sz w:val="24"/>
                <w:szCs w:val="24"/>
                <w:lang w:val="en-GB"/>
              </w:rPr>
              <w:t>100%的股</w:t>
            </w:r>
            <w:r>
              <w:rPr>
                <w:rFonts w:ascii="Times New Roman" w:hAnsi="Times New Roman"/>
                <w:sz w:val="24"/>
                <w:szCs w:val="24"/>
                <w:lang w:val="en-GB"/>
              </w:rPr>
              <w:t>权</w:t>
            </w:r>
            <w:r>
              <w:rPr>
                <w:rFonts w:hint="eastAsia" w:ascii="Times New Roman" w:hAnsi="Times New Roman"/>
                <w:sz w:val="24"/>
                <w:szCs w:val="24"/>
                <w:lang w:val="en-GB"/>
              </w:rPr>
              <w:t>。（“</w:t>
            </w:r>
            <w:r>
              <w:rPr>
                <w:rFonts w:hint="eastAsia" w:ascii="Times New Roman" w:hAnsi="Times New Roman"/>
                <w:b/>
                <w:bCs/>
                <w:sz w:val="24"/>
                <w:szCs w:val="24"/>
                <w:lang w:val="en-GB"/>
              </w:rPr>
              <w:t>拟议交易</w:t>
            </w:r>
            <w:r>
              <w:rPr>
                <w:rFonts w:hint="eastAsia" w:ascii="Times New Roman" w:hAnsi="Times New Roman"/>
                <w:sz w:val="24"/>
                <w:szCs w:val="24"/>
                <w:lang w:val="en-GB"/>
              </w:rPr>
              <w:t>”）Ephesoft为面向大中型企业和用户的全球咨询公司和系统集成商提供智能文件处理平台。</w:t>
            </w:r>
          </w:p>
          <w:p>
            <w:pPr>
              <w:widowControl/>
              <w:snapToGrid w:val="0"/>
              <w:rPr>
                <w:rFonts w:ascii="Times New Roman" w:hAnsi="Times New Roman"/>
                <w:szCs w:val="24"/>
                <w:lang w:val="en-GB"/>
              </w:rPr>
            </w:pPr>
            <w:r>
              <w:rPr>
                <w:rFonts w:hint="eastAsia" w:ascii="Times New Roman" w:hAnsi="Times New Roman"/>
                <w:sz w:val="24"/>
                <w:szCs w:val="24"/>
                <w:lang w:val="en-GB"/>
              </w:rPr>
              <w:t>拟议交易前，Ephesoft的股权结构分散，不受任何个人或实体控制。拟议交易后，清湖资本和TA联合将分别间接持有</w:t>
            </w:r>
            <w:r>
              <w:rPr>
                <w:rFonts w:ascii="Times New Roman" w:hAnsi="Times New Roman"/>
                <w:sz w:val="24"/>
                <w:szCs w:val="24"/>
                <w:lang w:val="en-GB"/>
              </w:rPr>
              <w:t>E</w:t>
            </w:r>
            <w:r>
              <w:rPr>
                <w:rFonts w:hint="eastAsia" w:ascii="Times New Roman" w:hAnsi="Times New Roman"/>
                <w:sz w:val="24"/>
                <w:szCs w:val="24"/>
                <w:lang w:val="en-GB"/>
              </w:rPr>
              <w:t>phesoft</w:t>
            </w:r>
            <w:r>
              <w:rPr>
                <w:rFonts w:ascii="Times New Roman" w:hAnsi="Times New Roman"/>
                <w:sz w:val="24"/>
                <w:szCs w:val="24"/>
                <w:lang w:val="en-GB"/>
              </w:rPr>
              <w:t xml:space="preserve"> </w:t>
            </w:r>
            <w:r>
              <w:rPr>
                <w:rFonts w:hint="eastAsia" w:ascii="Times New Roman" w:hAnsi="Times New Roman"/>
                <w:sz w:val="24"/>
                <w:szCs w:val="24"/>
                <w:lang w:val="en-GB"/>
              </w:rPr>
              <w:t>50%的股份，并将共同控制</w:t>
            </w:r>
            <w:r>
              <w:rPr>
                <w:rFonts w:ascii="Times New Roman" w:hAnsi="Times New Roman"/>
                <w:sz w:val="24"/>
                <w:szCs w:val="24"/>
                <w:lang w:val="en-GB"/>
              </w:rPr>
              <w:t>E</w:t>
            </w:r>
            <w:r>
              <w:rPr>
                <w:rFonts w:hint="eastAsia" w:ascii="Times New Roman" w:hAnsi="Times New Roman"/>
                <w:sz w:val="24"/>
                <w:szCs w:val="24"/>
                <w:lang w:val="en-GB"/>
              </w:rPr>
              <w:t>phesoft。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2523" w:type="dxa"/>
            <w:vMerge w:val="restart"/>
            <w:shd w:val="clear" w:color="auto" w:fill="D9D9D9"/>
            <w:vAlign w:val="center"/>
          </w:tcPr>
          <w:p>
            <w:pPr>
              <w:rPr>
                <w:rFonts w:ascii="Times New Roman" w:hAnsi="Times New Roman"/>
                <w:bCs/>
                <w:sz w:val="24"/>
              </w:rPr>
            </w:pPr>
            <w:r>
              <w:rPr>
                <w:rFonts w:ascii="Times New Roman" w:hAnsi="Times New Roman"/>
                <w:bCs/>
                <w:color w:val="000000"/>
                <w:sz w:val="24"/>
                <w:lang w:val="en-GB"/>
              </w:rPr>
              <w:t>参与集中的经营者简介</w:t>
            </w:r>
          </w:p>
        </w:tc>
        <w:tc>
          <w:tcPr>
            <w:tcW w:w="1796" w:type="dxa"/>
            <w:vAlign w:val="center"/>
          </w:tcPr>
          <w:p>
            <w:pPr>
              <w:rPr>
                <w:rFonts w:ascii="Times New Roman" w:hAnsi="Times New Roman"/>
                <w:sz w:val="24"/>
                <w:szCs w:val="21"/>
              </w:rPr>
            </w:pPr>
            <w:r>
              <w:rPr>
                <w:rFonts w:ascii="Times New Roman" w:hAnsi="Times New Roman"/>
                <w:sz w:val="24"/>
                <w:szCs w:val="21"/>
              </w:rPr>
              <w:t>清湖资本</w:t>
            </w:r>
          </w:p>
        </w:tc>
        <w:tc>
          <w:tcPr>
            <w:tcW w:w="5746" w:type="dxa"/>
          </w:tcPr>
          <w:p>
            <w:pPr>
              <w:rPr>
                <w:rFonts w:ascii="Times New Roman" w:hAnsi="Times New Roman"/>
                <w:sz w:val="24"/>
                <w:szCs w:val="21"/>
              </w:rPr>
            </w:pPr>
            <w:r>
              <w:rPr>
                <w:rFonts w:ascii="Times New Roman" w:hAnsi="Times New Roman"/>
                <w:sz w:val="24"/>
                <w:szCs w:val="21"/>
              </w:rPr>
              <w:t>清湖资本于2007年</w:t>
            </w:r>
            <w:r>
              <w:rPr>
                <w:rFonts w:hint="eastAsia" w:ascii="Times New Roman" w:hAnsi="Times New Roman"/>
                <w:sz w:val="24"/>
                <w:szCs w:val="21"/>
              </w:rPr>
              <w:t>2月2</w:t>
            </w:r>
            <w:r>
              <w:rPr>
                <w:rFonts w:ascii="Times New Roman" w:hAnsi="Times New Roman"/>
                <w:sz w:val="24"/>
                <w:szCs w:val="21"/>
              </w:rPr>
              <w:t>1</w:t>
            </w:r>
            <w:r>
              <w:rPr>
                <w:rFonts w:hint="eastAsia" w:ascii="Times New Roman" w:hAnsi="Times New Roman"/>
                <w:sz w:val="24"/>
                <w:szCs w:val="21"/>
              </w:rPr>
              <w:t>日</w:t>
            </w:r>
            <w:r>
              <w:rPr>
                <w:rFonts w:ascii="Times New Roman" w:hAnsi="Times New Roman"/>
                <w:sz w:val="24"/>
                <w:szCs w:val="21"/>
              </w:rPr>
              <w:t>在美国成立，是一家私人投资公司，专注于解决中小型公司的复杂情况。</w:t>
            </w:r>
          </w:p>
          <w:p>
            <w:pPr>
              <w:rPr>
                <w:rFonts w:ascii="Times New Roman" w:hAnsi="Times New Roman"/>
                <w:sz w:val="24"/>
                <w:szCs w:val="21"/>
              </w:rPr>
            </w:pPr>
            <w:r>
              <w:rPr>
                <w:rFonts w:ascii="Times New Roman" w:hAnsi="Times New Roman"/>
                <w:sz w:val="24"/>
                <w:szCs w:val="21"/>
              </w:rPr>
              <w:t>清湖资本</w:t>
            </w:r>
            <w:r>
              <w:rPr>
                <w:rFonts w:hint="eastAsia" w:ascii="Times New Roman" w:hAnsi="Times New Roman"/>
                <w:sz w:val="24"/>
                <w:szCs w:val="21"/>
                <w:lang w:eastAsia="zh-CN"/>
              </w:rPr>
              <w:t>无最终控制人</w:t>
            </w:r>
            <w:r>
              <w:rPr>
                <w:rFonts w:ascii="Times New Roman" w:hAnsi="Times New Roman"/>
                <w:sz w:val="24"/>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2523" w:type="dxa"/>
            <w:vMerge w:val="continue"/>
            <w:shd w:val="clear" w:color="auto" w:fill="D9D9D9"/>
            <w:vAlign w:val="center"/>
          </w:tcPr>
          <w:p>
            <w:pPr>
              <w:rPr>
                <w:rFonts w:ascii="Times New Roman" w:hAnsi="Times New Roman"/>
                <w:bCs/>
                <w:sz w:val="24"/>
              </w:rPr>
            </w:pPr>
          </w:p>
        </w:tc>
        <w:tc>
          <w:tcPr>
            <w:tcW w:w="1796" w:type="dxa"/>
            <w:vAlign w:val="center"/>
          </w:tcPr>
          <w:p>
            <w:pPr>
              <w:rPr>
                <w:rFonts w:ascii="Times New Roman" w:hAnsi="Times New Roman"/>
                <w:sz w:val="24"/>
                <w:szCs w:val="21"/>
              </w:rPr>
            </w:pPr>
            <w:r>
              <w:rPr>
                <w:rFonts w:ascii="Times New Roman" w:hAnsi="Times New Roman"/>
                <w:sz w:val="24"/>
                <w:szCs w:val="21"/>
              </w:rPr>
              <w:t>TA联合</w:t>
            </w:r>
          </w:p>
        </w:tc>
        <w:tc>
          <w:tcPr>
            <w:tcW w:w="5746" w:type="dxa"/>
          </w:tcPr>
          <w:p>
            <w:pPr>
              <w:rPr>
                <w:rFonts w:ascii="Times New Roman" w:hAnsi="Times New Roman"/>
                <w:sz w:val="24"/>
                <w:szCs w:val="21"/>
              </w:rPr>
            </w:pPr>
            <w:r>
              <w:rPr>
                <w:rFonts w:ascii="Times New Roman" w:hAnsi="Times New Roman"/>
                <w:sz w:val="24"/>
                <w:szCs w:val="21"/>
              </w:rPr>
              <w:t>TA联合于1993年7月20日在美国成立，是一家全球成长型私募股权公司，专注于科技、医疗、金融服务、消费和商业服务等行业领域。</w:t>
            </w:r>
          </w:p>
          <w:p>
            <w:pPr>
              <w:rPr>
                <w:rFonts w:ascii="Times New Roman" w:hAnsi="Times New Roman"/>
                <w:sz w:val="24"/>
                <w:szCs w:val="21"/>
              </w:rPr>
            </w:pPr>
            <w:r>
              <w:rPr>
                <w:rFonts w:ascii="Times New Roman" w:hAnsi="Times New Roman"/>
                <w:sz w:val="24"/>
                <w:szCs w:val="21"/>
              </w:rPr>
              <w:t>TA联合</w:t>
            </w:r>
            <w:r>
              <w:rPr>
                <w:rFonts w:hint="eastAsia" w:ascii="Times New Roman" w:hAnsi="Times New Roman"/>
                <w:sz w:val="24"/>
                <w:szCs w:val="21"/>
                <w:lang w:eastAsia="zh-CN"/>
              </w:rPr>
              <w:t>无最终控制人</w:t>
            </w:r>
            <w:r>
              <w:rPr>
                <w:rFonts w:ascii="Times New Roman" w:hAnsi="Times New Roman"/>
                <w:sz w:val="24"/>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2523" w:type="dxa"/>
            <w:vMerge w:val="continue"/>
            <w:shd w:val="clear" w:color="auto" w:fill="D9D9D9"/>
            <w:vAlign w:val="center"/>
          </w:tcPr>
          <w:p>
            <w:pPr>
              <w:rPr>
                <w:rFonts w:ascii="Times New Roman" w:hAnsi="Times New Roman"/>
                <w:bCs/>
                <w:sz w:val="24"/>
              </w:rPr>
            </w:pPr>
          </w:p>
        </w:tc>
        <w:tc>
          <w:tcPr>
            <w:tcW w:w="1796" w:type="dxa"/>
            <w:vAlign w:val="center"/>
          </w:tcPr>
          <w:p>
            <w:pPr>
              <w:rPr>
                <w:rFonts w:ascii="Times New Roman" w:hAnsi="Times New Roman"/>
                <w:sz w:val="24"/>
                <w:szCs w:val="21"/>
              </w:rPr>
            </w:pPr>
            <w:r>
              <w:rPr>
                <w:rFonts w:hint="eastAsia" w:ascii="Times New Roman" w:hAnsi="Times New Roman"/>
                <w:sz w:val="24"/>
                <w:szCs w:val="24"/>
                <w:lang w:val="en-GB"/>
              </w:rPr>
              <w:t>Ephesoft</w:t>
            </w:r>
          </w:p>
        </w:tc>
        <w:tc>
          <w:tcPr>
            <w:tcW w:w="5746" w:type="dxa"/>
          </w:tcPr>
          <w:p>
            <w:pPr>
              <w:rPr>
                <w:rFonts w:ascii="Times New Roman" w:hAnsi="Times New Roman"/>
                <w:sz w:val="24"/>
                <w:szCs w:val="21"/>
              </w:rPr>
            </w:pPr>
            <w:r>
              <w:rPr>
                <w:rFonts w:ascii="Times New Roman" w:hAnsi="Times New Roman"/>
                <w:sz w:val="24"/>
                <w:szCs w:val="21"/>
              </w:rPr>
              <w:t>E</w:t>
            </w:r>
            <w:r>
              <w:rPr>
                <w:rFonts w:hint="eastAsia" w:ascii="Times New Roman" w:hAnsi="Times New Roman"/>
                <w:sz w:val="24"/>
                <w:szCs w:val="21"/>
              </w:rPr>
              <w:t>phesoft于2</w:t>
            </w:r>
            <w:r>
              <w:rPr>
                <w:rFonts w:ascii="Times New Roman" w:hAnsi="Times New Roman"/>
                <w:sz w:val="24"/>
                <w:szCs w:val="21"/>
              </w:rPr>
              <w:t>010</w:t>
            </w:r>
            <w:r>
              <w:rPr>
                <w:rFonts w:hint="eastAsia" w:ascii="Times New Roman" w:hAnsi="Times New Roman"/>
                <w:sz w:val="24"/>
                <w:szCs w:val="21"/>
              </w:rPr>
              <w:t>年2月1</w:t>
            </w:r>
            <w:r>
              <w:rPr>
                <w:rFonts w:ascii="Times New Roman" w:hAnsi="Times New Roman"/>
                <w:sz w:val="24"/>
                <w:szCs w:val="21"/>
              </w:rPr>
              <w:t>8</w:t>
            </w:r>
            <w:r>
              <w:rPr>
                <w:rFonts w:hint="eastAsia" w:ascii="Times New Roman" w:hAnsi="Times New Roman"/>
                <w:sz w:val="24"/>
                <w:szCs w:val="21"/>
              </w:rPr>
              <w:t>日</w:t>
            </w:r>
            <w:r>
              <w:rPr>
                <w:rFonts w:ascii="Times New Roman" w:hAnsi="Times New Roman"/>
                <w:sz w:val="24"/>
                <w:szCs w:val="21"/>
              </w:rPr>
              <w:t>在美国成立</w:t>
            </w:r>
            <w:r>
              <w:rPr>
                <w:rFonts w:hint="eastAsia" w:ascii="Times New Roman" w:hAnsi="Times New Roman"/>
                <w:sz w:val="24"/>
                <w:szCs w:val="21"/>
              </w:rPr>
              <w:t>，为面向大中型企业和用户的全球咨询公司和系统集成商提供智能文件处理平台。</w:t>
            </w:r>
          </w:p>
          <w:p>
            <w:pPr>
              <w:rPr>
                <w:rFonts w:ascii="Times New Roman" w:hAnsi="Times New Roman"/>
                <w:sz w:val="24"/>
                <w:szCs w:val="21"/>
              </w:rPr>
            </w:pPr>
            <w:r>
              <w:rPr>
                <w:rFonts w:hint="eastAsia" w:ascii="Times New Roman" w:hAnsi="Times New Roman"/>
                <w:sz w:val="24"/>
                <w:szCs w:val="21"/>
              </w:rPr>
              <w:t>Ephesoft</w:t>
            </w:r>
            <w:r>
              <w:rPr>
                <w:rFonts w:hint="eastAsia" w:ascii="Times New Roman" w:hAnsi="Times New Roman"/>
                <w:sz w:val="24"/>
                <w:szCs w:val="21"/>
                <w:lang w:eastAsia="zh-CN"/>
              </w:rPr>
              <w:t>无最终控制人</w:t>
            </w:r>
            <w:r>
              <w:rPr>
                <w:rFonts w:ascii="Times New Roman" w:hAnsi="Times New Roman"/>
                <w:sz w:val="24"/>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2523" w:type="dxa"/>
            <w:vMerge w:val="restart"/>
            <w:shd w:val="clear" w:color="auto" w:fill="D9D9D9"/>
            <w:vAlign w:val="center"/>
          </w:tcPr>
          <w:p>
            <w:pPr>
              <w:rPr>
                <w:rFonts w:ascii="Times New Roman" w:hAnsi="Times New Roman"/>
                <w:bCs/>
                <w:sz w:val="24"/>
              </w:rPr>
            </w:pPr>
            <w:r>
              <w:rPr>
                <w:rFonts w:ascii="Times New Roman" w:hAnsi="Times New Roman"/>
                <w:bCs/>
                <w:color w:val="000000"/>
                <w:sz w:val="24"/>
                <w:lang w:val="en-GB"/>
              </w:rPr>
              <w:t>简易案件理由</w:t>
            </w:r>
          </w:p>
        </w:tc>
        <w:tc>
          <w:tcPr>
            <w:tcW w:w="7542" w:type="dxa"/>
            <w:gridSpan w:val="2"/>
            <w:vAlign w:val="center"/>
          </w:tcPr>
          <w:p>
            <w:pPr>
              <w:rPr>
                <w:rFonts w:ascii="Times New Roman" w:hAnsi="Times New Roman"/>
                <w:sz w:val="24"/>
                <w:szCs w:val="21"/>
              </w:rPr>
            </w:pPr>
            <w:r>
              <w:rPr>
                <w:rFonts w:ascii="Times New Roman" w:hAnsi="Times New Roman"/>
                <w:bCs/>
                <w:color w:val="000000"/>
                <w:sz w:val="24"/>
                <w:szCs w:val="21"/>
                <w:lang w:val="en-GB"/>
              </w:rPr>
              <w:sym w:font="Wingdings" w:char="00FE"/>
            </w:r>
            <w:r>
              <w:rPr>
                <w:rFonts w:ascii="Times New Roman" w:hAnsi="Times New Roman"/>
                <w:bCs/>
                <w:color w:val="000000"/>
                <w:sz w:val="24"/>
                <w:szCs w:val="21"/>
                <w:lang w:val="en-GB"/>
              </w:rPr>
              <w:t xml:space="preserve"> 1、在同一相关市场，所有参与集中的经营者所占市场份额之和小于</w:t>
            </w:r>
            <w:r>
              <w:rPr>
                <w:rFonts w:ascii="Times New Roman" w:hAnsi="Times New Roman"/>
                <w:bCs/>
                <w:color w:val="000000"/>
                <w:sz w:val="24"/>
                <w:szCs w:val="21"/>
              </w:rPr>
              <w:t>15%</w:t>
            </w:r>
            <w:r>
              <w:rPr>
                <w:rFonts w:ascii="Times New Roman" w:hAnsi="Times New Roman"/>
                <w:bCs/>
                <w:color w:val="000000"/>
                <w:sz w:val="24"/>
                <w:szCs w:val="21"/>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523" w:type="dxa"/>
            <w:vMerge w:val="continue"/>
            <w:shd w:val="clear" w:color="auto" w:fill="D9D9D9"/>
            <w:vAlign w:val="center"/>
          </w:tcPr>
          <w:p>
            <w:pPr>
              <w:rPr>
                <w:rFonts w:ascii="Times New Roman" w:hAnsi="Times New Roman"/>
                <w:bCs/>
                <w:sz w:val="24"/>
              </w:rPr>
            </w:pPr>
          </w:p>
        </w:tc>
        <w:tc>
          <w:tcPr>
            <w:tcW w:w="7542" w:type="dxa"/>
            <w:gridSpan w:val="2"/>
            <w:vAlign w:val="center"/>
          </w:tcPr>
          <w:p>
            <w:pPr>
              <w:rPr>
                <w:rFonts w:ascii="Times New Roman" w:hAnsi="Times New Roman"/>
                <w:sz w:val="24"/>
                <w:szCs w:val="21"/>
              </w:rPr>
            </w:pPr>
            <w:r>
              <w:rPr>
                <w:rFonts w:ascii="Times New Roman" w:hAnsi="Times New Roman"/>
                <w:bCs/>
                <w:color w:val="000000"/>
                <w:sz w:val="24"/>
                <w:szCs w:val="21"/>
                <w:lang w:val="en-GB"/>
              </w:rPr>
              <w:sym w:font="Wingdings" w:char="00A8"/>
            </w:r>
            <w:r>
              <w:rPr>
                <w:rFonts w:ascii="Times New Roman" w:hAnsi="Times New Roman"/>
                <w:bCs/>
                <w:color w:val="000000"/>
                <w:sz w:val="24"/>
                <w:szCs w:val="21"/>
                <w:lang w:val="en-GB"/>
              </w:rPr>
              <w:t xml:space="preserve"> 2、存在上下游关系的参与集中的经营者，在上下游市场所占的市场份额均小于</w:t>
            </w:r>
            <w:r>
              <w:rPr>
                <w:rFonts w:ascii="Times New Roman" w:hAnsi="Times New Roman"/>
                <w:bCs/>
                <w:color w:val="000000"/>
                <w:sz w:val="24"/>
                <w:szCs w:val="21"/>
              </w:rPr>
              <w:t>25%</w:t>
            </w:r>
            <w:r>
              <w:rPr>
                <w:rFonts w:ascii="Times New Roman" w:hAnsi="Times New Roman"/>
                <w:bCs/>
                <w:color w:val="000000"/>
                <w:sz w:val="24"/>
                <w:szCs w:val="21"/>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523" w:type="dxa"/>
            <w:vMerge w:val="continue"/>
            <w:shd w:val="clear" w:color="auto" w:fill="D9D9D9"/>
            <w:vAlign w:val="center"/>
          </w:tcPr>
          <w:p>
            <w:pPr>
              <w:rPr>
                <w:rFonts w:ascii="Times New Roman" w:hAnsi="Times New Roman"/>
                <w:bCs/>
                <w:sz w:val="24"/>
              </w:rPr>
            </w:pPr>
          </w:p>
        </w:tc>
        <w:tc>
          <w:tcPr>
            <w:tcW w:w="7542" w:type="dxa"/>
            <w:gridSpan w:val="2"/>
            <w:vAlign w:val="center"/>
          </w:tcPr>
          <w:p>
            <w:pPr>
              <w:rPr>
                <w:rFonts w:ascii="Times New Roman" w:hAnsi="Times New Roman"/>
                <w:sz w:val="24"/>
                <w:szCs w:val="21"/>
              </w:rPr>
            </w:pPr>
            <w:r>
              <w:rPr>
                <w:rFonts w:ascii="Times New Roman" w:hAnsi="Times New Roman"/>
                <w:bCs/>
                <w:color w:val="000000"/>
                <w:sz w:val="24"/>
                <w:szCs w:val="21"/>
                <w:lang w:val="en-GB"/>
              </w:rPr>
              <w:sym w:font="Wingdings" w:char="00A8"/>
            </w:r>
            <w:r>
              <w:rPr>
                <w:rFonts w:ascii="Times New Roman" w:hAnsi="Times New Roman"/>
                <w:bCs/>
                <w:color w:val="000000"/>
                <w:sz w:val="24"/>
                <w:szCs w:val="21"/>
                <w:lang w:val="en-GB"/>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523" w:type="dxa"/>
            <w:vMerge w:val="continue"/>
            <w:shd w:val="clear" w:color="auto" w:fill="D9D9D9"/>
            <w:vAlign w:val="center"/>
          </w:tcPr>
          <w:p>
            <w:pPr>
              <w:rPr>
                <w:rFonts w:ascii="Times New Roman" w:hAnsi="Times New Roman"/>
                <w:bCs/>
                <w:sz w:val="24"/>
              </w:rPr>
            </w:pPr>
          </w:p>
        </w:tc>
        <w:tc>
          <w:tcPr>
            <w:tcW w:w="7542" w:type="dxa"/>
            <w:gridSpan w:val="2"/>
            <w:vAlign w:val="center"/>
          </w:tcPr>
          <w:p>
            <w:pPr>
              <w:rPr>
                <w:rFonts w:ascii="Times New Roman" w:hAnsi="Times New Roman"/>
                <w:sz w:val="24"/>
                <w:szCs w:val="21"/>
              </w:rPr>
            </w:pPr>
            <w:r>
              <w:rPr>
                <w:rFonts w:ascii="Times New Roman" w:hAnsi="Times New Roman"/>
                <w:bCs/>
                <w:color w:val="000000"/>
                <w:sz w:val="24"/>
                <w:szCs w:val="21"/>
                <w:lang w:val="en-GB"/>
              </w:rPr>
              <w:sym w:font="Wingdings" w:char="00A8"/>
            </w:r>
            <w:r>
              <w:rPr>
                <w:rFonts w:ascii="Times New Roman" w:hAnsi="Times New Roman"/>
                <w:bCs/>
                <w:color w:val="000000"/>
                <w:sz w:val="24"/>
                <w:szCs w:val="21"/>
                <w:lang w:val="en-GB"/>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523" w:type="dxa"/>
            <w:vMerge w:val="continue"/>
            <w:shd w:val="clear" w:color="auto" w:fill="D9D9D9"/>
            <w:vAlign w:val="center"/>
          </w:tcPr>
          <w:p>
            <w:pPr>
              <w:rPr>
                <w:rFonts w:ascii="Times New Roman" w:hAnsi="Times New Roman"/>
                <w:bCs/>
                <w:sz w:val="24"/>
              </w:rPr>
            </w:pPr>
          </w:p>
        </w:tc>
        <w:tc>
          <w:tcPr>
            <w:tcW w:w="7542" w:type="dxa"/>
            <w:gridSpan w:val="2"/>
            <w:vAlign w:val="center"/>
          </w:tcPr>
          <w:p>
            <w:pPr>
              <w:rPr>
                <w:rFonts w:ascii="Times New Roman" w:hAnsi="Times New Roman"/>
                <w:sz w:val="24"/>
                <w:szCs w:val="21"/>
              </w:rPr>
            </w:pPr>
            <w:r>
              <w:rPr>
                <w:rFonts w:ascii="Times New Roman" w:hAnsi="Times New Roman"/>
                <w:bCs/>
                <w:color w:val="000000"/>
                <w:sz w:val="24"/>
                <w:szCs w:val="21"/>
                <w:lang w:val="en-GB"/>
              </w:rPr>
              <w:sym w:font="Wingdings" w:char="00A8"/>
            </w:r>
            <w:r>
              <w:rPr>
                <w:rFonts w:ascii="Times New Roman" w:hAnsi="Times New Roman"/>
                <w:bCs/>
                <w:color w:val="000000"/>
                <w:sz w:val="24"/>
                <w:szCs w:val="21"/>
                <w:lang w:val="en-GB"/>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523" w:type="dxa"/>
            <w:vMerge w:val="continue"/>
            <w:shd w:val="clear" w:color="auto" w:fill="D9D9D9"/>
            <w:vAlign w:val="center"/>
          </w:tcPr>
          <w:p>
            <w:pPr>
              <w:rPr>
                <w:rFonts w:ascii="Times New Roman" w:hAnsi="Times New Roman"/>
                <w:bCs/>
                <w:sz w:val="24"/>
              </w:rPr>
            </w:pPr>
          </w:p>
        </w:tc>
        <w:tc>
          <w:tcPr>
            <w:tcW w:w="7542" w:type="dxa"/>
            <w:gridSpan w:val="2"/>
            <w:vAlign w:val="center"/>
          </w:tcPr>
          <w:p>
            <w:pPr>
              <w:rPr>
                <w:rFonts w:ascii="Times New Roman" w:hAnsi="Times New Roman"/>
                <w:sz w:val="24"/>
                <w:szCs w:val="21"/>
              </w:rPr>
            </w:pPr>
            <w:r>
              <w:rPr>
                <w:rFonts w:ascii="Times New Roman" w:hAnsi="Times New Roman"/>
                <w:bCs/>
                <w:color w:val="000000"/>
                <w:sz w:val="24"/>
                <w:szCs w:val="21"/>
                <w:lang w:val="en-GB"/>
              </w:rPr>
              <w:sym w:font="Wingdings" w:char="00A8"/>
            </w:r>
            <w:r>
              <w:rPr>
                <w:rFonts w:ascii="Times New Roman" w:hAnsi="Times New Roman"/>
                <w:bCs/>
                <w:color w:val="000000"/>
                <w:sz w:val="24"/>
                <w:szCs w:val="21"/>
                <w:lang w:val="en-GB"/>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3" w:hRule="atLeast"/>
        </w:trPr>
        <w:tc>
          <w:tcPr>
            <w:tcW w:w="2523" w:type="dxa"/>
            <w:shd w:val="clear" w:color="auto" w:fill="D9D9D9"/>
            <w:vAlign w:val="center"/>
          </w:tcPr>
          <w:p>
            <w:pPr>
              <w:rPr>
                <w:rFonts w:ascii="Times New Roman" w:hAnsi="Times New Roman"/>
                <w:bCs/>
                <w:sz w:val="24"/>
              </w:rPr>
            </w:pPr>
            <w:r>
              <w:rPr>
                <w:rFonts w:ascii="Times New Roman" w:hAnsi="Times New Roman"/>
                <w:bCs/>
                <w:color w:val="000000"/>
                <w:sz w:val="24"/>
              </w:rPr>
              <w:t>备注</w:t>
            </w:r>
          </w:p>
        </w:tc>
        <w:tc>
          <w:tcPr>
            <w:tcW w:w="7542" w:type="dxa"/>
            <w:gridSpan w:val="2"/>
          </w:tcPr>
          <w:p>
            <w:pPr>
              <w:rPr>
                <w:rFonts w:ascii="Times New Roman" w:hAnsi="Times New Roman"/>
                <w:b/>
                <w:bCs/>
                <w:sz w:val="24"/>
                <w:szCs w:val="21"/>
              </w:rPr>
            </w:pPr>
            <w:r>
              <w:rPr>
                <w:rFonts w:ascii="Times New Roman" w:hAnsi="Times New Roman"/>
                <w:b/>
                <w:bCs/>
                <w:sz w:val="24"/>
                <w:szCs w:val="21"/>
              </w:rPr>
              <w:t>横向重叠：</w:t>
            </w:r>
          </w:p>
          <w:p>
            <w:pPr>
              <w:rPr>
                <w:rFonts w:ascii="Times New Roman" w:hAnsi="Times New Roman"/>
                <w:sz w:val="24"/>
                <w:szCs w:val="21"/>
              </w:rPr>
            </w:pPr>
            <w:r>
              <w:rPr>
                <w:rFonts w:ascii="Times New Roman" w:hAnsi="Times New Roman"/>
                <w:sz w:val="24"/>
                <w:szCs w:val="21"/>
              </w:rPr>
              <w:t>2021年全球</w:t>
            </w:r>
            <w:r>
              <w:rPr>
                <w:rFonts w:hint="eastAsia" w:ascii="Times New Roman" w:hAnsi="Times New Roman"/>
                <w:sz w:val="24"/>
                <w:szCs w:val="21"/>
              </w:rPr>
              <w:t>文件捕获</w:t>
            </w:r>
            <w:bookmarkStart w:id="0" w:name="_GoBack"/>
            <w:bookmarkEnd w:id="0"/>
            <w:r>
              <w:rPr>
                <w:rFonts w:hint="eastAsia" w:ascii="Times New Roman" w:hAnsi="Times New Roman"/>
                <w:sz w:val="24"/>
                <w:szCs w:val="21"/>
              </w:rPr>
              <w:t>软件</w:t>
            </w:r>
            <w:r>
              <w:rPr>
                <w:rFonts w:ascii="Times New Roman" w:hAnsi="Times New Roman"/>
                <w:sz w:val="24"/>
                <w:szCs w:val="21"/>
              </w:rPr>
              <w:t>市场：</w:t>
            </w:r>
          </w:p>
          <w:p>
            <w:pPr>
              <w:rPr>
                <w:rFonts w:ascii="Times New Roman" w:hAnsi="Times New Roman"/>
                <w:sz w:val="24"/>
                <w:szCs w:val="21"/>
              </w:rPr>
            </w:pPr>
            <w:r>
              <w:rPr>
                <w:rFonts w:ascii="Times New Roman" w:hAnsi="Times New Roman"/>
                <w:sz w:val="24"/>
                <w:szCs w:val="21"/>
              </w:rPr>
              <w:t>TA联合</w:t>
            </w:r>
            <w:r>
              <w:rPr>
                <w:rFonts w:hint="eastAsia" w:ascii="Times New Roman" w:hAnsi="Times New Roman"/>
                <w:sz w:val="24"/>
                <w:szCs w:val="21"/>
              </w:rPr>
              <w:t>及清湖资本</w:t>
            </w:r>
            <w:r>
              <w:rPr>
                <w:rFonts w:ascii="Times New Roman" w:hAnsi="Times New Roman"/>
                <w:sz w:val="24"/>
                <w:szCs w:val="21"/>
              </w:rPr>
              <w:t>：0-5%，E</w:t>
            </w:r>
            <w:r>
              <w:rPr>
                <w:rFonts w:hint="eastAsia" w:ascii="Times New Roman" w:hAnsi="Times New Roman"/>
                <w:sz w:val="24"/>
                <w:szCs w:val="21"/>
              </w:rPr>
              <w:t>phesoft</w:t>
            </w:r>
            <w:r>
              <w:rPr>
                <w:rFonts w:ascii="Times New Roman" w:hAnsi="Times New Roman"/>
                <w:sz w:val="24"/>
                <w:szCs w:val="21"/>
              </w:rPr>
              <w:t>：0-5%，合计：5-10%</w:t>
            </w:r>
          </w:p>
          <w:p>
            <w:pPr>
              <w:rPr>
                <w:rFonts w:ascii="Times New Roman" w:hAnsi="Times New Roman"/>
                <w:sz w:val="24"/>
                <w:szCs w:val="21"/>
              </w:rPr>
            </w:pPr>
            <w:r>
              <w:rPr>
                <w:rFonts w:hint="eastAsia" w:ascii="Times New Roman" w:hAnsi="Times New Roman"/>
                <w:sz w:val="24"/>
                <w:szCs w:val="24"/>
              </w:rPr>
              <w:t>T</w:t>
            </w:r>
            <w:r>
              <w:rPr>
                <w:rFonts w:ascii="Times New Roman" w:hAnsi="Times New Roman"/>
                <w:sz w:val="24"/>
                <w:szCs w:val="24"/>
              </w:rPr>
              <w:t>A</w:t>
            </w:r>
            <w:r>
              <w:rPr>
                <w:rFonts w:hint="eastAsia" w:ascii="Times New Roman" w:hAnsi="Times New Roman"/>
                <w:sz w:val="24"/>
                <w:szCs w:val="24"/>
              </w:rPr>
              <w:t>联合及清湖资本</w:t>
            </w:r>
            <w:r>
              <w:rPr>
                <w:rFonts w:hint="eastAsia" w:ascii="Times New Roman" w:hAnsi="Times New Roman"/>
                <w:sz w:val="24"/>
                <w:szCs w:val="24"/>
                <w:lang w:eastAsia="zh-CN"/>
              </w:rPr>
              <w:t>在相关市场的份额为两家公司共同控制的</w:t>
            </w:r>
            <w:r>
              <w:rPr>
                <w:rFonts w:ascii="Times New Roman" w:hAnsi="Times New Roman"/>
                <w:sz w:val="24"/>
                <w:szCs w:val="24"/>
              </w:rPr>
              <w:t>K</w:t>
            </w:r>
            <w:r>
              <w:rPr>
                <w:rFonts w:hint="eastAsia" w:ascii="Times New Roman" w:hAnsi="Times New Roman"/>
                <w:sz w:val="24"/>
                <w:szCs w:val="24"/>
              </w:rPr>
              <w:t>ofax</w:t>
            </w:r>
            <w:r>
              <w:rPr>
                <w:rFonts w:ascii="Times New Roman" w:hAnsi="Times New Roman"/>
                <w:sz w:val="24"/>
                <w:szCs w:val="24"/>
              </w:rPr>
              <w:t xml:space="preserve"> P</w:t>
            </w:r>
            <w:r>
              <w:rPr>
                <w:rFonts w:hint="eastAsia" w:ascii="Times New Roman" w:hAnsi="Times New Roman"/>
                <w:sz w:val="24"/>
                <w:szCs w:val="24"/>
              </w:rPr>
              <w:t>arent</w:t>
            </w:r>
            <w:r>
              <w:rPr>
                <w:rFonts w:ascii="Times New Roman" w:hAnsi="Times New Roman"/>
                <w:sz w:val="24"/>
                <w:szCs w:val="24"/>
              </w:rPr>
              <w:t xml:space="preserve"> L</w:t>
            </w:r>
            <w:r>
              <w:rPr>
                <w:rFonts w:hint="eastAsia" w:ascii="Times New Roman" w:hAnsi="Times New Roman"/>
                <w:sz w:val="24"/>
                <w:szCs w:val="24"/>
              </w:rPr>
              <w:t>imited</w:t>
            </w:r>
            <w:r>
              <w:rPr>
                <w:rFonts w:hint="eastAsia" w:ascii="Times New Roman" w:hAnsi="Times New Roman"/>
                <w:sz w:val="24"/>
                <w:szCs w:val="24"/>
                <w:lang w:eastAsia="zh-CN"/>
              </w:rPr>
              <w:t>的市场份额</w:t>
            </w:r>
            <w:r>
              <w:rPr>
                <w:rFonts w:hint="eastAsia" w:ascii="Times New Roman" w:hAnsi="Times New Roman"/>
                <w:sz w:val="24"/>
                <w:szCs w:val="24"/>
              </w:rPr>
              <w:t>。</w:t>
            </w:r>
          </w:p>
        </w:tc>
      </w:tr>
    </w:tbl>
    <w:p>
      <w:pPr>
        <w:rPr>
          <w:rFonts w:ascii="Times New Roman" w:hAnsi="Times New Roma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rPr>
      <w:id w:val="158597304"/>
      <w:docPartObj>
        <w:docPartGallery w:val="AutoText"/>
      </w:docPartObj>
    </w:sdtPr>
    <w:sdtEndPr>
      <w:rPr>
        <w:rFonts w:ascii="Times New Roman" w:hAnsi="Times New Roman"/>
      </w:rPr>
    </w:sdtEndPr>
    <w:sdtContent>
      <w:sdt>
        <w:sdtPr>
          <w:rPr>
            <w:rFonts w:ascii="Times New Roman" w:hAnsi="Times New Roman"/>
          </w:rPr>
          <w:id w:val="1728636285"/>
          <w:docPartObj>
            <w:docPartGallery w:val="AutoText"/>
          </w:docPartObj>
        </w:sdtPr>
        <w:sdtEndPr>
          <w:rPr>
            <w:rFonts w:ascii="Times New Roman" w:hAnsi="Times New Roman"/>
          </w:rPr>
        </w:sdtEndPr>
        <w:sdtContent>
          <w:p>
            <w:pPr>
              <w:pStyle w:val="4"/>
              <w:jc w:val="center"/>
              <w:rPr>
                <w:rFonts w:ascii="Times New Roman" w:hAnsi="Times New Roman"/>
              </w:rPr>
            </w:pPr>
            <w:r>
              <w:rPr>
                <w:rFonts w:ascii="Times New Roman" w:hAnsi="Times New Roman"/>
                <w:lang w:val="zh-CN"/>
              </w:rPr>
              <w:t xml:space="preserve"> </w:t>
            </w:r>
            <w:r>
              <w:rPr>
                <w:rFonts w:ascii="Times New Roman" w:hAnsi="Times New Roman"/>
                <w:b/>
                <w:bCs/>
                <w:sz w:val="24"/>
                <w:szCs w:val="24"/>
              </w:rPr>
              <w:fldChar w:fldCharType="begin"/>
            </w:r>
            <w:r>
              <w:rPr>
                <w:rFonts w:ascii="Times New Roman" w:hAnsi="Times New Roman"/>
                <w:b/>
                <w:bCs/>
              </w:rPr>
              <w:instrText xml:space="preserve">PAGE</w:instrText>
            </w:r>
            <w:r>
              <w:rPr>
                <w:rFonts w:ascii="Times New Roman" w:hAnsi="Times New Roman"/>
                <w:b/>
                <w:bCs/>
                <w:sz w:val="24"/>
                <w:szCs w:val="24"/>
              </w:rPr>
              <w:fldChar w:fldCharType="separate"/>
            </w:r>
            <w:r>
              <w:rPr>
                <w:rFonts w:ascii="Times New Roman" w:hAnsi="Times New Roman"/>
                <w:b/>
                <w:bCs/>
              </w:rPr>
              <w:t>1</w:t>
            </w:r>
            <w:r>
              <w:rPr>
                <w:rFonts w:ascii="Times New Roman" w:hAnsi="Times New Roman"/>
                <w:b/>
                <w:bCs/>
                <w:sz w:val="24"/>
                <w:szCs w:val="24"/>
              </w:rPr>
              <w:fldChar w:fldCharType="end"/>
            </w:r>
            <w:r>
              <w:rPr>
                <w:rFonts w:ascii="Times New Roman" w:hAnsi="Times New Roman"/>
                <w:lang w:val="zh-CN"/>
              </w:rPr>
              <w:t xml:space="preserve"> / </w:t>
            </w:r>
            <w:r>
              <w:rPr>
                <w:rFonts w:ascii="Times New Roman" w:hAnsi="Times New Roman"/>
                <w:b/>
                <w:bCs/>
                <w:sz w:val="24"/>
                <w:szCs w:val="24"/>
              </w:rPr>
              <w:fldChar w:fldCharType="begin"/>
            </w:r>
            <w:r>
              <w:rPr>
                <w:rFonts w:ascii="Times New Roman" w:hAnsi="Times New Roman"/>
                <w:b/>
                <w:bCs/>
              </w:rPr>
              <w:instrText xml:space="preserve">NUMPAGES</w:instrText>
            </w:r>
            <w:r>
              <w:rPr>
                <w:rFonts w:ascii="Times New Roman" w:hAnsi="Times New Roman"/>
                <w:b/>
                <w:bCs/>
                <w:sz w:val="24"/>
                <w:szCs w:val="24"/>
              </w:rPr>
              <w:fldChar w:fldCharType="separate"/>
            </w:r>
            <w:r>
              <w:rPr>
                <w:rFonts w:ascii="Times New Roman" w:hAnsi="Times New Roman"/>
                <w:b/>
                <w:bCs/>
              </w:rPr>
              <w:t>1</w:t>
            </w:r>
            <w:r>
              <w:rPr>
                <w:rFonts w:ascii="Times New Roman" w:hAnsi="Times New Roman"/>
                <w:b/>
                <w:bCs/>
                <w:sz w:val="24"/>
                <w:szCs w:val="24"/>
              </w:rPr>
              <w:fldChar w:fldCharType="end"/>
            </w:r>
          </w:p>
        </w:sdtContent>
      </w:sdt>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DDB"/>
    <w:rsid w:val="00083F34"/>
    <w:rsid w:val="00087EC9"/>
    <w:rsid w:val="000B643B"/>
    <w:rsid w:val="000C24C9"/>
    <w:rsid w:val="001927EA"/>
    <w:rsid w:val="001B7C03"/>
    <w:rsid w:val="001C04FD"/>
    <w:rsid w:val="00210654"/>
    <w:rsid w:val="002B473E"/>
    <w:rsid w:val="002C6AAF"/>
    <w:rsid w:val="003210D9"/>
    <w:rsid w:val="00330876"/>
    <w:rsid w:val="0037077E"/>
    <w:rsid w:val="0037557C"/>
    <w:rsid w:val="00390446"/>
    <w:rsid w:val="00397DD4"/>
    <w:rsid w:val="004138DD"/>
    <w:rsid w:val="00415124"/>
    <w:rsid w:val="00466E01"/>
    <w:rsid w:val="004B2544"/>
    <w:rsid w:val="004D49C5"/>
    <w:rsid w:val="004D701F"/>
    <w:rsid w:val="00544C80"/>
    <w:rsid w:val="0055103E"/>
    <w:rsid w:val="00573DF3"/>
    <w:rsid w:val="005804FF"/>
    <w:rsid w:val="005F50AC"/>
    <w:rsid w:val="0063661B"/>
    <w:rsid w:val="00665FA5"/>
    <w:rsid w:val="006802BC"/>
    <w:rsid w:val="0068251A"/>
    <w:rsid w:val="00695A72"/>
    <w:rsid w:val="006A0B29"/>
    <w:rsid w:val="006A21C2"/>
    <w:rsid w:val="007173FF"/>
    <w:rsid w:val="00784B26"/>
    <w:rsid w:val="00793162"/>
    <w:rsid w:val="007C514D"/>
    <w:rsid w:val="007D7395"/>
    <w:rsid w:val="0080236A"/>
    <w:rsid w:val="00807695"/>
    <w:rsid w:val="00852F61"/>
    <w:rsid w:val="008B5D4D"/>
    <w:rsid w:val="00936AE6"/>
    <w:rsid w:val="0094431D"/>
    <w:rsid w:val="00981757"/>
    <w:rsid w:val="009A00F8"/>
    <w:rsid w:val="009A5418"/>
    <w:rsid w:val="009C61AC"/>
    <w:rsid w:val="00A07CD0"/>
    <w:rsid w:val="00A549E6"/>
    <w:rsid w:val="00A64A12"/>
    <w:rsid w:val="00A841F2"/>
    <w:rsid w:val="00AC6B40"/>
    <w:rsid w:val="00C22A58"/>
    <w:rsid w:val="00CB2B45"/>
    <w:rsid w:val="00CC7359"/>
    <w:rsid w:val="00CE6720"/>
    <w:rsid w:val="00CF1FC2"/>
    <w:rsid w:val="00D20F3E"/>
    <w:rsid w:val="00D40CBE"/>
    <w:rsid w:val="00D41FA4"/>
    <w:rsid w:val="00D80FA3"/>
    <w:rsid w:val="00DA3B12"/>
    <w:rsid w:val="00DA554D"/>
    <w:rsid w:val="00E570D8"/>
    <w:rsid w:val="00E5766A"/>
    <w:rsid w:val="00E64DDB"/>
    <w:rsid w:val="00E8427E"/>
    <w:rsid w:val="00E97265"/>
    <w:rsid w:val="00EF56D1"/>
    <w:rsid w:val="00F23E2F"/>
    <w:rsid w:val="00F617A1"/>
    <w:rsid w:val="00F81F20"/>
    <w:rsid w:val="00F84FB2"/>
    <w:rsid w:val="00FF50A8"/>
    <w:rsid w:val="12213314"/>
    <w:rsid w:val="2222148E"/>
    <w:rsid w:val="277476D0"/>
  </w:rsids>
  <m:mathPr>
    <m:mathFont m:val="Cambria Math"/>
    <m:brkBin m:val="before"/>
    <m:brkBinSub m:val="--"/>
    <m:smallFrac m:val="1"/>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endnote text"/>
    <w:basedOn w:val="1"/>
    <w:link w:val="10"/>
    <w:semiHidden/>
    <w:unhideWhenUsed/>
    <w:uiPriority w:val="99"/>
    <w:pPr>
      <w:snapToGrid w:val="0"/>
      <w:jc w:val="left"/>
    </w:pPr>
  </w:style>
  <w:style w:type="paragraph" w:styleId="3">
    <w:name w:val="Balloon Text"/>
    <w:basedOn w:val="1"/>
    <w:link w:val="14"/>
    <w:semiHidden/>
    <w:unhideWhenUsed/>
    <w:uiPriority w:val="99"/>
    <w:rPr>
      <w:sz w:val="18"/>
      <w:szCs w:val="18"/>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ndnote reference"/>
    <w:semiHidden/>
    <w:unhideWhenUsed/>
    <w:qFormat/>
    <w:uiPriority w:val="99"/>
    <w:rPr>
      <w:vertAlign w:val="superscript"/>
    </w:rPr>
  </w:style>
  <w:style w:type="character" w:customStyle="1" w:styleId="10">
    <w:name w:val="尾注文本 字符"/>
    <w:basedOn w:val="8"/>
    <w:link w:val="2"/>
    <w:semiHidden/>
    <w:uiPriority w:val="99"/>
  </w:style>
  <w:style w:type="character" w:customStyle="1" w:styleId="11">
    <w:name w:val="页眉 字符"/>
    <w:link w:val="5"/>
    <w:uiPriority w:val="99"/>
    <w:rPr>
      <w:sz w:val="18"/>
      <w:szCs w:val="18"/>
    </w:rPr>
  </w:style>
  <w:style w:type="character" w:customStyle="1" w:styleId="12">
    <w:name w:val="页脚 字符"/>
    <w:link w:val="4"/>
    <w:uiPriority w:val="99"/>
    <w:rPr>
      <w:sz w:val="18"/>
      <w:szCs w:val="18"/>
    </w:rPr>
  </w:style>
  <w:style w:type="paragraph" w:styleId="13">
    <w:name w:val="List Paragraph"/>
    <w:basedOn w:val="1"/>
    <w:qFormat/>
    <w:uiPriority w:val="99"/>
    <w:pPr>
      <w:ind w:firstLine="420" w:firstLineChars="200"/>
    </w:pPr>
  </w:style>
  <w:style w:type="character" w:customStyle="1" w:styleId="14">
    <w:name w:val="批注框文本 字符"/>
    <w:basedOn w:val="8"/>
    <w:link w:val="3"/>
    <w:semiHidden/>
    <w:uiPriority w:val="99"/>
    <w:rPr>
      <w:kern w:val="2"/>
      <w:sz w:val="18"/>
      <w:szCs w:val="18"/>
      <w:lang w:val="en-US"/>
    </w:rPr>
  </w:style>
  <w:style w:type="character" w:customStyle="1" w:styleId="15">
    <w:name w:val="content-right_8zs401"/>
    <w:basedOn w:val="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39779B-4275-4210-A002-18E8D8A98035}">
  <ds:schemaRefs/>
</ds:datastoreItem>
</file>

<file path=docProps/app.xml><?xml version="1.0" encoding="utf-8"?>
<Properties xmlns="http://schemas.openxmlformats.org/officeDocument/2006/extended-properties" xmlns:vt="http://schemas.openxmlformats.org/officeDocument/2006/docPropsVTypes">
  <Template>Normal</Template>
  <Pages>1</Pages>
  <Words>156</Words>
  <Characters>891</Characters>
  <Lines>7</Lines>
  <Paragraphs>2</Paragraphs>
  <TotalTime>2</TotalTime>
  <ScaleCrop>false</ScaleCrop>
  <LinksUpToDate>false</LinksUpToDate>
  <CharactersWithSpaces>1045</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2020-02-14T09:37:00Z</dcterms:created>
  <dc:creator>Rui Ying Yuan</dc:creator>
  <cp:lastModifiedBy>常亮</cp:lastModifiedBy>
  <dcterms:modified xsi:type="dcterms:W3CDTF">2022-07-04T06:31:02Z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f456ee32-2511-476e-b6d3-df374f714fae</vt:lpwstr>
  </property>
  <property fmtid="{D5CDD505-2E9C-101B-9397-08002B2CF9AE}" pid="3" name="KSOProductBuildVer">
    <vt:lpwstr>2052-11.8.2.10393</vt:lpwstr>
  </property>
</Properties>
</file>