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jc w:val="center"/>
        <w:rPr>
          <w:rFonts w:ascii="黑体" w:hAnsi="黑体" w:eastAsia="黑体" w:cs="黑体"/>
          <w:sz w:val="36"/>
          <w:szCs w:val="36"/>
        </w:rPr>
      </w:pPr>
      <w:r>
        <w:rPr>
          <w:rFonts w:hint="eastAsia" w:ascii="黑体" w:hAnsi="黑体" w:eastAsia="黑体" w:cs="黑体"/>
          <w:sz w:val="36"/>
          <w:szCs w:val="36"/>
        </w:rPr>
        <w:t>经营者集中简易案件公示表</w:t>
      </w:r>
    </w:p>
    <w:p>
      <w:pPr>
        <w:spacing w:line="276" w:lineRule="auto"/>
        <w:rPr>
          <w:rFonts w:ascii="Times New Roman" w:hAnsi="Times New Roman" w:eastAsia="仿宋"/>
          <w:sz w:val="24"/>
          <w:szCs w:val="24"/>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588"/>
        <w:gridCol w:w="5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dxa"/>
            <w:shd w:val="clear" w:color="auto" w:fill="D9D9D9"/>
            <w:vAlign w:val="center"/>
          </w:tcPr>
          <w:p>
            <w:pPr>
              <w:spacing w:line="276" w:lineRule="auto"/>
              <w:jc w:val="center"/>
              <w:rPr>
                <w:rFonts w:ascii="Times New Roman" w:hAnsi="Times New Roman" w:eastAsia="仿宋"/>
                <w:kern w:val="0"/>
                <w:sz w:val="24"/>
                <w:szCs w:val="24"/>
              </w:rPr>
            </w:pPr>
            <w:r>
              <w:rPr>
                <w:rFonts w:ascii="Times New Roman" w:hAnsi="Times New Roman" w:eastAsia="仿宋"/>
                <w:kern w:val="0"/>
                <w:sz w:val="24"/>
                <w:szCs w:val="24"/>
              </w:rPr>
              <w:t>案件名称</w:t>
            </w:r>
          </w:p>
        </w:tc>
        <w:tc>
          <w:tcPr>
            <w:tcW w:w="6949" w:type="dxa"/>
            <w:gridSpan w:val="2"/>
            <w:vAlign w:val="center"/>
          </w:tcPr>
          <w:p>
            <w:pPr>
              <w:spacing w:line="276" w:lineRule="auto"/>
              <w:rPr>
                <w:rFonts w:ascii="Times New Roman" w:hAnsi="Times New Roman" w:eastAsia="仿宋"/>
                <w:sz w:val="24"/>
                <w:szCs w:val="24"/>
              </w:rPr>
            </w:pPr>
            <w:r>
              <w:rPr>
                <w:rFonts w:hint="eastAsia" w:ascii="Times New Roman" w:hAnsi="Times New Roman" w:eastAsia="仿宋"/>
                <w:sz w:val="24"/>
                <w:szCs w:val="24"/>
              </w:rPr>
              <w:t>深圳艾克斯机器人有限公司收购深圳魔听文化科技有限公司股权案</w:t>
            </w:r>
            <w:r>
              <w:rPr>
                <w:rFonts w:ascii="Times New Roman" w:hAnsi="Times New Roman" w:eastAsia="仿宋"/>
                <w:sz w:val="24"/>
                <w:szCs w:val="24"/>
              </w:rPr>
              <w:t>（“</w:t>
            </w:r>
            <w:r>
              <w:rPr>
                <w:rFonts w:ascii="Times New Roman" w:hAnsi="Times New Roman" w:eastAsia="仿宋"/>
                <w:b/>
                <w:sz w:val="24"/>
                <w:szCs w:val="24"/>
              </w:rPr>
              <w:t>本次交易</w:t>
            </w:r>
            <w:r>
              <w:rPr>
                <w:rFonts w:ascii="Times New Roman" w:hAnsi="Times New Roman" w:eastAsia="仿宋"/>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93" w:hRule="atLeast"/>
        </w:trPr>
        <w:tc>
          <w:tcPr>
            <w:tcW w:w="1809" w:type="dxa"/>
            <w:shd w:val="clear" w:color="auto" w:fill="D9D9D9"/>
            <w:vAlign w:val="center"/>
          </w:tcPr>
          <w:p>
            <w:pPr>
              <w:spacing w:line="276" w:lineRule="auto"/>
              <w:jc w:val="center"/>
              <w:rPr>
                <w:rFonts w:ascii="Times New Roman" w:hAnsi="Times New Roman" w:eastAsia="仿宋"/>
                <w:kern w:val="0"/>
                <w:sz w:val="24"/>
                <w:szCs w:val="24"/>
              </w:rPr>
            </w:pPr>
            <w:r>
              <w:rPr>
                <w:rFonts w:ascii="Times New Roman" w:hAnsi="Times New Roman" w:eastAsia="仿宋"/>
                <w:kern w:val="0"/>
                <w:sz w:val="24"/>
                <w:szCs w:val="24"/>
              </w:rPr>
              <w:t>交易概况</w:t>
            </w:r>
          </w:p>
          <w:p>
            <w:pPr>
              <w:spacing w:line="276" w:lineRule="auto"/>
              <w:jc w:val="center"/>
              <w:rPr>
                <w:rFonts w:ascii="Times New Roman" w:hAnsi="Times New Roman" w:eastAsia="仿宋"/>
                <w:kern w:val="0"/>
                <w:sz w:val="24"/>
                <w:szCs w:val="24"/>
              </w:rPr>
            </w:pPr>
            <w:r>
              <w:rPr>
                <w:rFonts w:ascii="Times New Roman" w:hAnsi="Times New Roman" w:eastAsia="仿宋"/>
                <w:kern w:val="0"/>
                <w:sz w:val="24"/>
                <w:szCs w:val="24"/>
              </w:rPr>
              <w:t>（限200字内）</w:t>
            </w:r>
          </w:p>
        </w:tc>
        <w:tc>
          <w:tcPr>
            <w:tcW w:w="6949" w:type="dxa"/>
            <w:gridSpan w:val="2"/>
          </w:tcPr>
          <w:p>
            <w:pPr>
              <w:spacing w:line="276" w:lineRule="auto"/>
              <w:rPr>
                <w:rFonts w:ascii="Times New Roman" w:hAnsi="Times New Roman" w:eastAsia="仿宋"/>
                <w:sz w:val="24"/>
                <w:szCs w:val="24"/>
              </w:rPr>
            </w:pPr>
            <w:r>
              <w:rPr>
                <w:rFonts w:hint="eastAsia" w:ascii="Times New Roman" w:hAnsi="Times New Roman" w:eastAsia="仿宋"/>
                <w:sz w:val="24"/>
                <w:szCs w:val="24"/>
              </w:rPr>
              <w:t>本次交易涉及深圳艾克斯机器人有限公司（“</w:t>
            </w:r>
            <w:r>
              <w:rPr>
                <w:rFonts w:hint="eastAsia" w:ascii="Times New Roman" w:hAnsi="Times New Roman" w:eastAsia="仿宋"/>
                <w:b/>
                <w:bCs/>
                <w:sz w:val="24"/>
                <w:szCs w:val="24"/>
              </w:rPr>
              <w:t>艾克斯</w:t>
            </w:r>
            <w:r>
              <w:rPr>
                <w:rFonts w:hint="eastAsia" w:ascii="Times New Roman" w:hAnsi="Times New Roman" w:eastAsia="仿宋"/>
                <w:sz w:val="24"/>
                <w:szCs w:val="24"/>
              </w:rPr>
              <w:t>”）收购深圳魔听文化科技有限公司（“</w:t>
            </w:r>
            <w:r>
              <w:rPr>
                <w:rFonts w:hint="eastAsia" w:ascii="Times New Roman" w:hAnsi="Times New Roman" w:eastAsia="仿宋"/>
                <w:b/>
                <w:bCs/>
                <w:sz w:val="24"/>
                <w:szCs w:val="24"/>
              </w:rPr>
              <w:t>魔听</w:t>
            </w:r>
            <w:r>
              <w:rPr>
                <w:rFonts w:hint="eastAsia" w:ascii="Times New Roman" w:hAnsi="Times New Roman" w:eastAsia="仿宋"/>
                <w:sz w:val="24"/>
                <w:szCs w:val="24"/>
              </w:rPr>
              <w:t>”）股权。本次交易后，艾克斯</w:t>
            </w:r>
            <w:r>
              <w:rPr>
                <w:rFonts w:hint="eastAsia" w:ascii="Times New Roman" w:hAnsi="Times New Roman" w:eastAsia="仿宋"/>
                <w:sz w:val="24"/>
                <w:szCs w:val="24"/>
                <w:lang w:eastAsia="zh-Hans"/>
              </w:rPr>
              <w:t>持有魔听</w:t>
            </w:r>
            <w:r>
              <w:rPr>
                <w:rFonts w:ascii="Times New Roman" w:hAnsi="Times New Roman" w:eastAsia="仿宋"/>
                <w:sz w:val="24"/>
                <w:szCs w:val="24"/>
                <w:lang w:eastAsia="zh-Hans"/>
              </w:rPr>
              <w:t>52%</w:t>
            </w:r>
            <w:r>
              <w:rPr>
                <w:rFonts w:hint="eastAsia" w:ascii="Times New Roman" w:hAnsi="Times New Roman" w:eastAsia="仿宋"/>
                <w:sz w:val="24"/>
                <w:szCs w:val="24"/>
                <w:lang w:eastAsia="zh-Hans"/>
              </w:rPr>
              <w:t>股权，</w:t>
            </w:r>
            <w:r>
              <w:rPr>
                <w:rFonts w:hint="eastAsia" w:ascii="Times New Roman" w:hAnsi="Times New Roman" w:eastAsia="仿宋"/>
                <w:sz w:val="24"/>
                <w:szCs w:val="24"/>
              </w:rPr>
              <w:t>将与魔听原股东万魔声学股份有限公司（“</w:t>
            </w:r>
            <w:r>
              <w:rPr>
                <w:rFonts w:hint="eastAsia" w:ascii="Times New Roman" w:hAnsi="Times New Roman" w:eastAsia="仿宋"/>
                <w:b/>
                <w:bCs/>
                <w:sz w:val="24"/>
                <w:szCs w:val="24"/>
              </w:rPr>
              <w:t>万魔</w:t>
            </w:r>
            <w:r>
              <w:rPr>
                <w:rFonts w:hint="eastAsia" w:ascii="Times New Roman" w:hAnsi="Times New Roman" w:eastAsia="仿宋"/>
                <w:sz w:val="24"/>
                <w:szCs w:val="24"/>
              </w:rPr>
              <w:t>”）及深圳市爱听卓乐文化科技有限</w:t>
            </w:r>
            <w:bookmarkStart w:id="0" w:name="_GoBack"/>
            <w:bookmarkEnd w:id="0"/>
            <w:r>
              <w:rPr>
                <w:rFonts w:hint="eastAsia" w:ascii="Times New Roman" w:hAnsi="Times New Roman" w:eastAsia="仿宋"/>
                <w:sz w:val="24"/>
                <w:szCs w:val="24"/>
              </w:rPr>
              <w:t>公司（“</w:t>
            </w:r>
            <w:r>
              <w:rPr>
                <w:rFonts w:hint="eastAsia" w:ascii="Times New Roman" w:hAnsi="Times New Roman" w:eastAsia="仿宋"/>
                <w:b/>
                <w:bCs/>
                <w:sz w:val="24"/>
                <w:szCs w:val="24"/>
              </w:rPr>
              <w:t>爱听卓乐</w:t>
            </w:r>
            <w:r>
              <w:rPr>
                <w:rFonts w:hint="eastAsia" w:ascii="Times New Roman" w:hAnsi="Times New Roman" w:eastAsia="仿宋"/>
                <w:sz w:val="24"/>
                <w:szCs w:val="24"/>
              </w:rPr>
              <w:t>”）共同控制魔听。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8" w:hRule="atLeast"/>
        </w:trPr>
        <w:tc>
          <w:tcPr>
            <w:tcW w:w="1809" w:type="dxa"/>
            <w:vMerge w:val="restart"/>
            <w:shd w:val="clear" w:color="auto" w:fill="D9D9D9"/>
            <w:vAlign w:val="center"/>
          </w:tcPr>
          <w:p>
            <w:pPr>
              <w:spacing w:line="276" w:lineRule="auto"/>
              <w:jc w:val="center"/>
              <w:rPr>
                <w:rFonts w:ascii="Times New Roman" w:hAnsi="Times New Roman" w:eastAsia="仿宋"/>
                <w:kern w:val="0"/>
                <w:sz w:val="24"/>
                <w:szCs w:val="24"/>
              </w:rPr>
            </w:pPr>
            <w:r>
              <w:rPr>
                <w:rFonts w:ascii="Times New Roman" w:hAnsi="Times New Roman" w:eastAsia="仿宋"/>
                <w:kern w:val="0"/>
                <w:sz w:val="24"/>
                <w:szCs w:val="24"/>
              </w:rPr>
              <w:t>参与集中的</w:t>
            </w:r>
          </w:p>
          <w:p>
            <w:pPr>
              <w:spacing w:line="276" w:lineRule="auto"/>
              <w:jc w:val="center"/>
              <w:rPr>
                <w:rFonts w:ascii="Times New Roman" w:hAnsi="Times New Roman" w:eastAsia="仿宋"/>
                <w:kern w:val="0"/>
                <w:sz w:val="24"/>
                <w:szCs w:val="24"/>
              </w:rPr>
            </w:pPr>
            <w:r>
              <w:rPr>
                <w:rFonts w:ascii="Times New Roman" w:hAnsi="Times New Roman" w:eastAsia="仿宋"/>
                <w:kern w:val="0"/>
                <w:sz w:val="24"/>
                <w:szCs w:val="24"/>
              </w:rPr>
              <w:t>经营者简介</w:t>
            </w:r>
          </w:p>
        </w:tc>
        <w:tc>
          <w:tcPr>
            <w:tcW w:w="1588" w:type="dxa"/>
            <w:vAlign w:val="center"/>
          </w:tcPr>
          <w:p>
            <w:pPr>
              <w:spacing w:line="276" w:lineRule="auto"/>
              <w:rPr>
                <w:rFonts w:ascii="Times New Roman" w:hAnsi="Times New Roman" w:eastAsia="仿宋"/>
                <w:kern w:val="0"/>
                <w:sz w:val="24"/>
                <w:szCs w:val="24"/>
              </w:rPr>
            </w:pPr>
            <w:r>
              <w:rPr>
                <w:rFonts w:ascii="Times New Roman" w:hAnsi="Times New Roman" w:eastAsia="仿宋"/>
                <w:kern w:val="0"/>
                <w:sz w:val="24"/>
                <w:szCs w:val="24"/>
              </w:rPr>
              <w:t>1、</w:t>
            </w:r>
            <w:r>
              <w:rPr>
                <w:rFonts w:hint="eastAsia" w:ascii="Times New Roman" w:hAnsi="Times New Roman" w:eastAsia="仿宋"/>
                <w:sz w:val="24"/>
                <w:szCs w:val="24"/>
              </w:rPr>
              <w:t>艾克斯</w:t>
            </w:r>
          </w:p>
        </w:tc>
        <w:tc>
          <w:tcPr>
            <w:tcW w:w="5361" w:type="dxa"/>
            <w:vAlign w:val="center"/>
          </w:tcPr>
          <w:p>
            <w:pPr>
              <w:spacing w:line="276" w:lineRule="auto"/>
              <w:rPr>
                <w:rFonts w:ascii="Times New Roman" w:hAnsi="Times New Roman" w:eastAsia="仿宋"/>
                <w:sz w:val="24"/>
                <w:szCs w:val="24"/>
              </w:rPr>
            </w:pPr>
            <w:r>
              <w:rPr>
                <w:rFonts w:hint="eastAsia" w:ascii="Times New Roman" w:hAnsi="Times New Roman" w:eastAsia="仿宋"/>
                <w:sz w:val="24"/>
                <w:szCs w:val="24"/>
              </w:rPr>
              <w:t>艾克斯成立于2020年8月19日，注册地为广东省深圳市。艾克斯目前由最终控制人罗小晖先生通过其全资子公司广州悦创智能科技集团有限公司</w:t>
            </w:r>
            <w:r>
              <w:rPr>
                <w:rFonts w:hint="eastAsia" w:ascii="Times New Roman" w:hAnsi="Times New Roman" w:eastAsia="仿宋"/>
                <w:sz w:val="24"/>
                <w:szCs w:val="24"/>
                <w:lang w:eastAsia="zh-Hans"/>
              </w:rPr>
              <w:t>（“</w:t>
            </w:r>
            <w:r>
              <w:rPr>
                <w:rFonts w:hint="eastAsia" w:ascii="Times New Roman" w:hAnsi="Times New Roman" w:eastAsia="仿宋"/>
                <w:b/>
                <w:bCs/>
                <w:sz w:val="24"/>
                <w:szCs w:val="24"/>
              </w:rPr>
              <w:t>悦创智能</w:t>
            </w:r>
            <w:r>
              <w:rPr>
                <w:rFonts w:hint="eastAsia" w:ascii="Times New Roman" w:hAnsi="Times New Roman" w:eastAsia="仿宋"/>
                <w:sz w:val="24"/>
                <w:szCs w:val="24"/>
                <w:lang w:eastAsia="zh-Hans"/>
              </w:rPr>
              <w:t>”）</w:t>
            </w:r>
            <w:r>
              <w:rPr>
                <w:rFonts w:hint="eastAsia" w:ascii="Times New Roman" w:hAnsi="Times New Roman" w:eastAsia="仿宋"/>
                <w:sz w:val="24"/>
                <w:szCs w:val="24"/>
              </w:rPr>
              <w:t>控制，</w:t>
            </w:r>
            <w:r>
              <w:rPr>
                <w:rFonts w:hint="eastAsia" w:ascii="Times New Roman" w:hAnsi="Times New Roman" w:eastAsia="仿宋"/>
                <w:sz w:val="24"/>
                <w:szCs w:val="24"/>
                <w:lang w:eastAsia="zh-Hans"/>
              </w:rPr>
              <w:t>悦创智能</w:t>
            </w:r>
            <w:r>
              <w:rPr>
                <w:rFonts w:hint="eastAsia" w:ascii="Times New Roman" w:hAnsi="Times New Roman" w:eastAsia="仿宋"/>
                <w:sz w:val="24"/>
                <w:szCs w:val="24"/>
              </w:rPr>
              <w:t>主要从事智慧行业一站式解决方案服务，主要产品为智慧城市、园区、交通等解决方案。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4" w:hRule="atLeast"/>
        </w:trPr>
        <w:tc>
          <w:tcPr>
            <w:tcW w:w="1809" w:type="dxa"/>
            <w:vMerge w:val="continue"/>
            <w:shd w:val="clear" w:color="auto" w:fill="D9D9D9"/>
            <w:vAlign w:val="center"/>
          </w:tcPr>
          <w:p>
            <w:pPr>
              <w:spacing w:line="276" w:lineRule="auto"/>
              <w:jc w:val="center"/>
              <w:rPr>
                <w:rFonts w:ascii="Times New Roman" w:hAnsi="Times New Roman" w:eastAsia="仿宋"/>
                <w:kern w:val="0"/>
                <w:sz w:val="24"/>
                <w:szCs w:val="24"/>
              </w:rPr>
            </w:pPr>
          </w:p>
        </w:tc>
        <w:tc>
          <w:tcPr>
            <w:tcW w:w="1588" w:type="dxa"/>
            <w:vAlign w:val="center"/>
          </w:tcPr>
          <w:p>
            <w:pPr>
              <w:spacing w:line="276" w:lineRule="auto"/>
              <w:jc w:val="left"/>
              <w:rPr>
                <w:rFonts w:ascii="Times New Roman" w:hAnsi="Times New Roman" w:eastAsia="仿宋"/>
                <w:kern w:val="0"/>
                <w:sz w:val="24"/>
                <w:szCs w:val="24"/>
              </w:rPr>
            </w:pPr>
            <w:r>
              <w:rPr>
                <w:rFonts w:ascii="Times New Roman" w:hAnsi="Times New Roman" w:eastAsia="仿宋"/>
                <w:kern w:val="0"/>
                <w:sz w:val="24"/>
                <w:szCs w:val="24"/>
              </w:rPr>
              <w:t>2、</w:t>
            </w:r>
            <w:r>
              <w:rPr>
                <w:rFonts w:hint="eastAsia" w:ascii="Times New Roman" w:hAnsi="Times New Roman" w:eastAsia="仿宋"/>
                <w:kern w:val="0"/>
                <w:sz w:val="24"/>
                <w:szCs w:val="24"/>
              </w:rPr>
              <w:t>魔听</w:t>
            </w:r>
          </w:p>
        </w:tc>
        <w:tc>
          <w:tcPr>
            <w:tcW w:w="5361" w:type="dxa"/>
            <w:vAlign w:val="center"/>
          </w:tcPr>
          <w:p>
            <w:pPr>
              <w:spacing w:line="276" w:lineRule="auto"/>
              <w:jc w:val="left"/>
              <w:rPr>
                <w:rFonts w:ascii="Times New Roman" w:hAnsi="Times New Roman" w:eastAsia="仿宋"/>
                <w:kern w:val="0"/>
                <w:sz w:val="24"/>
                <w:szCs w:val="24"/>
              </w:rPr>
            </w:pPr>
            <w:r>
              <w:rPr>
                <w:rFonts w:hint="eastAsia" w:ascii="Times New Roman" w:hAnsi="Times New Roman" w:eastAsia="仿宋"/>
                <w:kern w:val="0"/>
                <w:sz w:val="24"/>
                <w:szCs w:val="24"/>
              </w:rPr>
              <w:t>魔听</w:t>
            </w:r>
            <w:r>
              <w:rPr>
                <w:rFonts w:ascii="Times New Roman" w:hAnsi="Times New Roman" w:eastAsia="仿宋"/>
                <w:kern w:val="0"/>
                <w:sz w:val="24"/>
                <w:szCs w:val="24"/>
              </w:rPr>
              <w:t>成立于</w:t>
            </w:r>
            <w:r>
              <w:rPr>
                <w:rFonts w:hint="eastAsia" w:ascii="Times New Roman" w:hAnsi="Times New Roman" w:eastAsia="仿宋"/>
                <w:kern w:val="0"/>
                <w:sz w:val="24"/>
                <w:szCs w:val="24"/>
              </w:rPr>
              <w:t>2016年7月5日</w:t>
            </w:r>
            <w:r>
              <w:rPr>
                <w:rFonts w:ascii="Times New Roman" w:hAnsi="Times New Roman" w:eastAsia="仿宋"/>
                <w:kern w:val="0"/>
                <w:sz w:val="24"/>
                <w:szCs w:val="24"/>
              </w:rPr>
              <w:t>，注册地为</w:t>
            </w:r>
            <w:r>
              <w:rPr>
                <w:rFonts w:hint="eastAsia" w:ascii="Times New Roman" w:hAnsi="Times New Roman" w:eastAsia="仿宋"/>
                <w:kern w:val="0"/>
                <w:sz w:val="24"/>
                <w:szCs w:val="24"/>
              </w:rPr>
              <w:t>广东省深圳市，</w:t>
            </w:r>
            <w:r>
              <w:rPr>
                <w:rFonts w:hint="eastAsia" w:ascii="Times New Roman" w:hAnsi="Times New Roman" w:eastAsia="仿宋"/>
                <w:kern w:val="0"/>
                <w:sz w:val="24"/>
                <w:szCs w:val="24"/>
                <w:lang w:eastAsia="zh-Hans"/>
              </w:rPr>
              <w:t>本次交易后拟重启经营，</w:t>
            </w:r>
            <w:r>
              <w:rPr>
                <w:rFonts w:hint="eastAsia" w:ascii="Times New Roman" w:hAnsi="Times New Roman" w:eastAsia="仿宋"/>
                <w:kern w:val="0"/>
                <w:sz w:val="24"/>
                <w:szCs w:val="24"/>
              </w:rPr>
              <w:t>提供智能音乐服务</w:t>
            </w:r>
            <w:r>
              <w:rPr>
                <w:rFonts w:hint="eastAsia" w:ascii="Times New Roman" w:hAnsi="Times New Roman" w:eastAsia="仿宋"/>
                <w:kern w:val="0"/>
                <w:sz w:val="24"/>
                <w:szCs w:val="24"/>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4" w:hRule="atLeast"/>
        </w:trPr>
        <w:tc>
          <w:tcPr>
            <w:tcW w:w="1809" w:type="dxa"/>
            <w:vMerge w:val="continue"/>
            <w:shd w:val="clear" w:color="auto" w:fill="D9D9D9"/>
            <w:vAlign w:val="center"/>
          </w:tcPr>
          <w:p>
            <w:pPr>
              <w:spacing w:line="276" w:lineRule="auto"/>
              <w:jc w:val="center"/>
              <w:rPr>
                <w:rFonts w:ascii="Times New Roman" w:hAnsi="Times New Roman" w:eastAsia="仿宋"/>
                <w:kern w:val="0"/>
                <w:sz w:val="24"/>
                <w:szCs w:val="24"/>
              </w:rPr>
            </w:pPr>
          </w:p>
        </w:tc>
        <w:tc>
          <w:tcPr>
            <w:tcW w:w="1588" w:type="dxa"/>
            <w:vAlign w:val="center"/>
          </w:tcPr>
          <w:p>
            <w:pPr>
              <w:spacing w:line="276" w:lineRule="auto"/>
              <w:jc w:val="left"/>
              <w:rPr>
                <w:rFonts w:ascii="Times New Roman" w:hAnsi="Times New Roman" w:eastAsia="仿宋"/>
                <w:kern w:val="0"/>
                <w:sz w:val="24"/>
                <w:szCs w:val="24"/>
              </w:rPr>
            </w:pPr>
            <w:r>
              <w:rPr>
                <w:rFonts w:hint="eastAsia" w:ascii="Times New Roman" w:hAnsi="Times New Roman" w:eastAsia="仿宋"/>
                <w:kern w:val="0"/>
                <w:sz w:val="24"/>
                <w:szCs w:val="24"/>
              </w:rPr>
              <w:t>3、万魔</w:t>
            </w:r>
          </w:p>
        </w:tc>
        <w:tc>
          <w:tcPr>
            <w:tcW w:w="5361" w:type="dxa"/>
            <w:vAlign w:val="center"/>
          </w:tcPr>
          <w:p>
            <w:pPr>
              <w:spacing w:line="276" w:lineRule="auto"/>
              <w:jc w:val="left"/>
              <w:rPr>
                <w:rFonts w:ascii="Times New Roman" w:hAnsi="Times New Roman"/>
                <w:kern w:val="0"/>
                <w:sz w:val="24"/>
                <w:szCs w:val="24"/>
                <w:lang w:eastAsia="zh-Hans"/>
              </w:rPr>
            </w:pPr>
            <w:r>
              <w:rPr>
                <w:rFonts w:hint="eastAsia" w:ascii="Times New Roman" w:hAnsi="Times New Roman" w:eastAsia="仿宋"/>
                <w:kern w:val="0"/>
                <w:sz w:val="24"/>
                <w:szCs w:val="24"/>
              </w:rPr>
              <w:t>万魔成立于2013年10月25日，注册地为广东省深圳市。</w:t>
            </w:r>
            <w:r>
              <w:rPr>
                <w:rStyle w:val="8"/>
                <w:rFonts w:hint="eastAsia" w:ascii="Times New Roman" w:hAnsi="Times New Roman" w:eastAsia="仿宋"/>
                <w:kern w:val="0"/>
                <w:sz w:val="24"/>
                <w:szCs w:val="24"/>
              </w:rPr>
              <w:t>万魔最终控制人为</w:t>
            </w:r>
            <w:r>
              <w:rPr>
                <w:rFonts w:hint="eastAsia" w:ascii="Times New Roman" w:hAnsi="Times New Roman" w:eastAsia="仿宋"/>
                <w:kern w:val="0"/>
                <w:sz w:val="24"/>
                <w:szCs w:val="24"/>
                <w:lang w:eastAsia="zh-Hans"/>
              </w:rPr>
              <w:t>谢冠宏先生，</w:t>
            </w:r>
            <w:r>
              <w:rPr>
                <w:rStyle w:val="8"/>
                <w:rFonts w:hint="eastAsia" w:ascii="Times New Roman" w:hAnsi="Times New Roman" w:eastAsia="仿宋"/>
                <w:kern w:val="0"/>
                <w:sz w:val="24"/>
                <w:szCs w:val="24"/>
              </w:rPr>
              <w:t>主要通过万魔</w:t>
            </w:r>
            <w:r>
              <w:rPr>
                <w:rFonts w:hint="eastAsia" w:ascii="Times New Roman" w:hAnsi="Times New Roman" w:eastAsia="仿宋"/>
                <w:kern w:val="0"/>
                <w:sz w:val="24"/>
                <w:szCs w:val="24"/>
              </w:rPr>
              <w:t>从事耳机的研发、生产、销售业务。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4" w:hRule="atLeast"/>
        </w:trPr>
        <w:tc>
          <w:tcPr>
            <w:tcW w:w="1809" w:type="dxa"/>
            <w:vMerge w:val="continue"/>
            <w:shd w:val="clear" w:color="auto" w:fill="D9D9D9"/>
            <w:vAlign w:val="center"/>
          </w:tcPr>
          <w:p>
            <w:pPr>
              <w:spacing w:line="276" w:lineRule="auto"/>
              <w:jc w:val="center"/>
              <w:rPr>
                <w:rFonts w:ascii="Times New Roman" w:hAnsi="Times New Roman" w:eastAsia="仿宋"/>
                <w:kern w:val="0"/>
                <w:sz w:val="24"/>
                <w:szCs w:val="24"/>
              </w:rPr>
            </w:pPr>
          </w:p>
        </w:tc>
        <w:tc>
          <w:tcPr>
            <w:tcW w:w="1588" w:type="dxa"/>
            <w:vAlign w:val="center"/>
          </w:tcPr>
          <w:p>
            <w:pPr>
              <w:spacing w:line="276" w:lineRule="auto"/>
              <w:jc w:val="left"/>
              <w:rPr>
                <w:rFonts w:ascii="Times New Roman" w:hAnsi="Times New Roman" w:eastAsia="仿宋"/>
                <w:kern w:val="0"/>
                <w:sz w:val="24"/>
                <w:szCs w:val="24"/>
              </w:rPr>
            </w:pPr>
            <w:r>
              <w:rPr>
                <w:rFonts w:hint="eastAsia" w:ascii="Times New Roman" w:hAnsi="Times New Roman" w:eastAsia="仿宋"/>
                <w:kern w:val="0"/>
                <w:sz w:val="24"/>
                <w:szCs w:val="24"/>
              </w:rPr>
              <w:t>4、爱听卓乐</w:t>
            </w:r>
          </w:p>
        </w:tc>
        <w:tc>
          <w:tcPr>
            <w:tcW w:w="5361" w:type="dxa"/>
            <w:vAlign w:val="center"/>
          </w:tcPr>
          <w:p>
            <w:pPr>
              <w:spacing w:line="276" w:lineRule="auto"/>
              <w:jc w:val="left"/>
              <w:rPr>
                <w:rFonts w:ascii="Times New Roman" w:hAnsi="Times New Roman" w:eastAsia="仿宋"/>
                <w:kern w:val="0"/>
                <w:sz w:val="24"/>
                <w:szCs w:val="24"/>
              </w:rPr>
            </w:pPr>
            <w:r>
              <w:rPr>
                <w:rFonts w:hint="eastAsia" w:ascii="Times New Roman" w:hAnsi="Times New Roman" w:eastAsia="仿宋"/>
                <w:kern w:val="0"/>
                <w:sz w:val="24"/>
                <w:szCs w:val="24"/>
              </w:rPr>
              <w:t>爱听卓乐是腾讯音乐娱乐集团（“T</w:t>
            </w:r>
            <w:r>
              <w:rPr>
                <w:rFonts w:ascii="Times New Roman" w:hAnsi="Times New Roman" w:eastAsia="仿宋"/>
                <w:kern w:val="0"/>
                <w:sz w:val="24"/>
                <w:szCs w:val="24"/>
              </w:rPr>
              <w:t>ME</w:t>
            </w:r>
            <w:r>
              <w:rPr>
                <w:rFonts w:hint="eastAsia" w:ascii="Times New Roman" w:hAnsi="Times New Roman" w:eastAsia="仿宋"/>
                <w:kern w:val="0"/>
                <w:sz w:val="24"/>
                <w:szCs w:val="24"/>
              </w:rPr>
              <w:t>”）旗下的音乐服务平台，提供优质的音乐整合服务，帮助合作伙伴打造专业的音乐解决方案，在多元场景下为用户提供音乐体验。T</w:t>
            </w:r>
            <w:r>
              <w:rPr>
                <w:rFonts w:ascii="Times New Roman" w:hAnsi="Times New Roman" w:eastAsia="仿宋"/>
                <w:kern w:val="0"/>
                <w:sz w:val="24"/>
                <w:szCs w:val="24"/>
              </w:rPr>
              <w:t>ME</w:t>
            </w:r>
            <w:r>
              <w:rPr>
                <w:rFonts w:hint="eastAsia" w:ascii="Times New Roman" w:hAnsi="Times New Roman" w:eastAsia="仿宋"/>
                <w:kern w:val="0"/>
                <w:sz w:val="24"/>
                <w:szCs w:val="24"/>
              </w:rPr>
              <w:t>成立于2016年7月12日，注册地为英属开曼群岛，主要从事在线音乐服务。</w:t>
            </w:r>
            <w:r>
              <w:rPr>
                <w:rFonts w:hint="eastAsia" w:ascii="Times New Roman" w:hAnsi="Times New Roman" w:eastAsia="仿宋"/>
                <w:kern w:val="0"/>
                <w:sz w:val="24"/>
                <w:szCs w:val="24"/>
                <w:lang w:eastAsia="zh-Hans"/>
              </w:rPr>
              <w:t>爱听卓乐及TME</w:t>
            </w:r>
            <w:r>
              <w:rPr>
                <w:rFonts w:hint="eastAsia" w:ascii="Times New Roman" w:hAnsi="Times New Roman" w:eastAsia="仿宋"/>
                <w:kern w:val="0"/>
                <w:sz w:val="24"/>
                <w:szCs w:val="24"/>
              </w:rPr>
              <w:t>最终控制人为腾讯控股有限公司，主要业务包括通信社交、数字内容、金融科技等。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9" w:hRule="atLeast"/>
        </w:trPr>
        <w:tc>
          <w:tcPr>
            <w:tcW w:w="1809" w:type="dxa"/>
            <w:vMerge w:val="restart"/>
            <w:shd w:val="clear" w:color="auto" w:fill="D9D9D9"/>
            <w:vAlign w:val="center"/>
          </w:tcPr>
          <w:p>
            <w:pPr>
              <w:spacing w:line="276" w:lineRule="auto"/>
              <w:jc w:val="center"/>
              <w:rPr>
                <w:rFonts w:ascii="Times New Roman" w:hAnsi="Times New Roman" w:eastAsia="仿宋"/>
                <w:kern w:val="0"/>
                <w:sz w:val="24"/>
                <w:szCs w:val="24"/>
              </w:rPr>
            </w:pPr>
            <w:r>
              <w:rPr>
                <w:rFonts w:ascii="Times New Roman" w:hAnsi="Times New Roman" w:eastAsia="仿宋"/>
                <w:kern w:val="0"/>
                <w:sz w:val="24"/>
                <w:szCs w:val="24"/>
              </w:rPr>
              <w:t>简易案件理由（可以单选，也可以多选）</w:t>
            </w:r>
          </w:p>
        </w:tc>
        <w:tc>
          <w:tcPr>
            <w:tcW w:w="6949" w:type="dxa"/>
            <w:gridSpan w:val="2"/>
            <w:vAlign w:val="center"/>
          </w:tcPr>
          <w:p>
            <w:pPr>
              <w:spacing w:line="276" w:lineRule="auto"/>
              <w:rPr>
                <w:rFonts w:ascii="Times New Roman" w:hAnsi="Times New Roman" w:eastAsia="仿宋"/>
                <w:kern w:val="0"/>
                <w:sz w:val="24"/>
                <w:szCs w:val="24"/>
              </w:rPr>
            </w:pPr>
            <w:r>
              <w:rPr>
                <w:rFonts w:ascii="Times New Roman" w:hAnsi="Times New Roman" w:eastAsia="仿宋"/>
                <w:kern w:val="0"/>
                <w:sz w:val="24"/>
                <w:szCs w:val="24"/>
              </w:rPr>
              <w:sym w:font="Wingdings" w:char="F0FE"/>
            </w:r>
            <w:r>
              <w:rPr>
                <w:rFonts w:ascii="Times New Roman" w:hAnsi="Times New Roman" w:eastAsia="仿宋"/>
                <w:kern w:val="0"/>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tcW w:w="1809" w:type="dxa"/>
            <w:vMerge w:val="continue"/>
            <w:shd w:val="clear" w:color="auto" w:fill="D9D9D9"/>
            <w:vAlign w:val="center"/>
          </w:tcPr>
          <w:p>
            <w:pPr>
              <w:spacing w:line="276" w:lineRule="auto"/>
              <w:jc w:val="center"/>
              <w:rPr>
                <w:rFonts w:ascii="Times New Roman" w:hAnsi="Times New Roman" w:eastAsia="仿宋"/>
                <w:kern w:val="0"/>
                <w:sz w:val="24"/>
                <w:szCs w:val="24"/>
              </w:rPr>
            </w:pPr>
          </w:p>
        </w:tc>
        <w:tc>
          <w:tcPr>
            <w:tcW w:w="6949" w:type="dxa"/>
            <w:gridSpan w:val="2"/>
            <w:vAlign w:val="center"/>
          </w:tcPr>
          <w:p>
            <w:pPr>
              <w:spacing w:line="276" w:lineRule="auto"/>
              <w:rPr>
                <w:rFonts w:ascii="Times New Roman" w:hAnsi="Times New Roman" w:eastAsia="仿宋"/>
                <w:kern w:val="0"/>
                <w:sz w:val="24"/>
                <w:szCs w:val="24"/>
              </w:rPr>
            </w:pPr>
            <w:r>
              <w:rPr>
                <w:rFonts w:ascii="Times New Roman" w:hAnsi="Times New Roman" w:eastAsia="仿宋"/>
                <w:kern w:val="0"/>
                <w:sz w:val="24"/>
                <w:szCs w:val="24"/>
              </w:rPr>
              <w:sym w:font="Wingdings" w:char="F0FE"/>
            </w:r>
            <w:r>
              <w:rPr>
                <w:rFonts w:ascii="Times New Roman" w:hAnsi="Times New Roman" w:eastAsia="仿宋"/>
                <w:kern w:val="0"/>
                <w:sz w:val="24"/>
                <w:szCs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1809" w:type="dxa"/>
            <w:vMerge w:val="continue"/>
            <w:shd w:val="clear" w:color="auto" w:fill="D9D9D9"/>
            <w:vAlign w:val="center"/>
          </w:tcPr>
          <w:p>
            <w:pPr>
              <w:spacing w:line="276" w:lineRule="auto"/>
              <w:jc w:val="center"/>
              <w:rPr>
                <w:rFonts w:ascii="Times New Roman" w:hAnsi="Times New Roman" w:eastAsia="仿宋"/>
                <w:kern w:val="0"/>
                <w:sz w:val="24"/>
                <w:szCs w:val="24"/>
              </w:rPr>
            </w:pPr>
          </w:p>
        </w:tc>
        <w:tc>
          <w:tcPr>
            <w:tcW w:w="6949" w:type="dxa"/>
            <w:gridSpan w:val="2"/>
            <w:vAlign w:val="center"/>
          </w:tcPr>
          <w:p>
            <w:pPr>
              <w:spacing w:line="276" w:lineRule="auto"/>
              <w:rPr>
                <w:rFonts w:ascii="Times New Roman" w:hAnsi="Times New Roman" w:eastAsia="仿宋"/>
                <w:kern w:val="0"/>
                <w:sz w:val="24"/>
                <w:szCs w:val="24"/>
              </w:rPr>
            </w:pPr>
            <w:r>
              <w:rPr>
                <w:rFonts w:ascii="Times New Roman" w:hAnsi="Times New Roman" w:eastAsia="仿宋"/>
                <w:kern w:val="0"/>
                <w:sz w:val="24"/>
                <w:szCs w:val="24"/>
              </w:rPr>
              <w:sym w:font="Wingdings" w:char="F0A8"/>
            </w:r>
            <w:r>
              <w:rPr>
                <w:rFonts w:ascii="Times New Roman" w:hAnsi="Times New Roman" w:eastAsia="仿宋"/>
                <w:kern w:val="0"/>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70" w:hRule="atLeast"/>
        </w:trPr>
        <w:tc>
          <w:tcPr>
            <w:tcW w:w="1809" w:type="dxa"/>
            <w:vMerge w:val="continue"/>
            <w:shd w:val="clear" w:color="auto" w:fill="D9D9D9"/>
            <w:vAlign w:val="center"/>
          </w:tcPr>
          <w:p>
            <w:pPr>
              <w:spacing w:line="276" w:lineRule="auto"/>
              <w:jc w:val="center"/>
              <w:rPr>
                <w:rFonts w:ascii="Times New Roman" w:hAnsi="Times New Roman" w:eastAsia="仿宋"/>
                <w:kern w:val="0"/>
                <w:sz w:val="24"/>
                <w:szCs w:val="24"/>
              </w:rPr>
            </w:pPr>
          </w:p>
        </w:tc>
        <w:tc>
          <w:tcPr>
            <w:tcW w:w="6949" w:type="dxa"/>
            <w:gridSpan w:val="2"/>
            <w:vAlign w:val="center"/>
          </w:tcPr>
          <w:p>
            <w:pPr>
              <w:spacing w:line="276" w:lineRule="auto"/>
              <w:rPr>
                <w:rFonts w:ascii="Times New Roman" w:hAnsi="Times New Roman" w:eastAsia="仿宋"/>
                <w:kern w:val="0"/>
                <w:sz w:val="24"/>
                <w:szCs w:val="24"/>
              </w:rPr>
            </w:pPr>
            <w:r>
              <w:rPr>
                <w:rFonts w:ascii="Times New Roman" w:hAnsi="Times New Roman" w:eastAsia="仿宋"/>
                <w:kern w:val="0"/>
                <w:sz w:val="24"/>
                <w:szCs w:val="24"/>
              </w:rPr>
              <w:sym w:font="Wingdings" w:char="F0A8"/>
            </w:r>
            <w:r>
              <w:rPr>
                <w:rFonts w:ascii="Times New Roman" w:hAnsi="Times New Roman" w:eastAsia="仿宋"/>
                <w:kern w:val="0"/>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4" w:hRule="atLeast"/>
        </w:trPr>
        <w:tc>
          <w:tcPr>
            <w:tcW w:w="1809" w:type="dxa"/>
            <w:vMerge w:val="continue"/>
            <w:shd w:val="clear" w:color="auto" w:fill="D9D9D9"/>
            <w:vAlign w:val="center"/>
          </w:tcPr>
          <w:p>
            <w:pPr>
              <w:spacing w:line="276" w:lineRule="auto"/>
              <w:jc w:val="center"/>
              <w:rPr>
                <w:rFonts w:ascii="Times New Roman" w:hAnsi="Times New Roman" w:eastAsia="仿宋"/>
                <w:kern w:val="0"/>
                <w:sz w:val="24"/>
                <w:szCs w:val="24"/>
              </w:rPr>
            </w:pPr>
          </w:p>
        </w:tc>
        <w:tc>
          <w:tcPr>
            <w:tcW w:w="6949" w:type="dxa"/>
            <w:gridSpan w:val="2"/>
            <w:vAlign w:val="center"/>
          </w:tcPr>
          <w:p>
            <w:pPr>
              <w:spacing w:line="276" w:lineRule="auto"/>
              <w:rPr>
                <w:rFonts w:ascii="Times New Roman" w:hAnsi="Times New Roman" w:eastAsia="仿宋"/>
                <w:kern w:val="0"/>
                <w:sz w:val="24"/>
                <w:szCs w:val="24"/>
              </w:rPr>
            </w:pPr>
            <w:r>
              <w:rPr>
                <w:rFonts w:ascii="Times New Roman" w:hAnsi="Times New Roman" w:eastAsia="仿宋"/>
                <w:kern w:val="0"/>
                <w:sz w:val="24"/>
                <w:szCs w:val="24"/>
              </w:rPr>
              <w:sym w:font="Wingdings" w:char="F0A8"/>
            </w:r>
            <w:r>
              <w:rPr>
                <w:rFonts w:ascii="Times New Roman" w:hAnsi="Times New Roman" w:eastAsia="仿宋"/>
                <w:kern w:val="0"/>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5" w:hRule="atLeast"/>
        </w:trPr>
        <w:tc>
          <w:tcPr>
            <w:tcW w:w="1809" w:type="dxa"/>
            <w:vMerge w:val="continue"/>
            <w:shd w:val="clear" w:color="auto" w:fill="D9D9D9"/>
            <w:vAlign w:val="center"/>
          </w:tcPr>
          <w:p>
            <w:pPr>
              <w:spacing w:line="276" w:lineRule="auto"/>
              <w:jc w:val="center"/>
              <w:rPr>
                <w:rFonts w:ascii="Times New Roman" w:hAnsi="Times New Roman" w:eastAsia="仿宋"/>
                <w:kern w:val="0"/>
                <w:sz w:val="24"/>
                <w:szCs w:val="24"/>
              </w:rPr>
            </w:pPr>
          </w:p>
        </w:tc>
        <w:tc>
          <w:tcPr>
            <w:tcW w:w="6949" w:type="dxa"/>
            <w:gridSpan w:val="2"/>
            <w:vAlign w:val="center"/>
          </w:tcPr>
          <w:p>
            <w:pPr>
              <w:spacing w:line="276" w:lineRule="auto"/>
              <w:rPr>
                <w:rFonts w:ascii="Times New Roman" w:hAnsi="Times New Roman" w:eastAsia="仿宋"/>
                <w:kern w:val="0"/>
                <w:sz w:val="24"/>
                <w:szCs w:val="24"/>
              </w:rPr>
            </w:pPr>
            <w:r>
              <w:rPr>
                <w:rFonts w:ascii="Times New Roman" w:hAnsi="Times New Roman" w:eastAsia="仿宋"/>
                <w:kern w:val="0"/>
                <w:sz w:val="24"/>
                <w:szCs w:val="24"/>
              </w:rPr>
              <w:sym w:font="Wingdings" w:char="F0A8"/>
            </w:r>
            <w:r>
              <w:rPr>
                <w:rFonts w:ascii="Times New Roman" w:hAnsi="Times New Roman" w:eastAsia="仿宋"/>
                <w:kern w:val="0"/>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dxa"/>
            <w:shd w:val="clear" w:color="auto" w:fill="D9D9D9"/>
            <w:vAlign w:val="center"/>
          </w:tcPr>
          <w:p>
            <w:pPr>
              <w:spacing w:line="276" w:lineRule="auto"/>
              <w:jc w:val="center"/>
              <w:rPr>
                <w:rFonts w:ascii="Times New Roman" w:hAnsi="Times New Roman" w:eastAsia="仿宋"/>
                <w:kern w:val="0"/>
                <w:sz w:val="24"/>
                <w:szCs w:val="24"/>
              </w:rPr>
            </w:pPr>
            <w:r>
              <w:rPr>
                <w:rFonts w:ascii="Times New Roman" w:hAnsi="Times New Roman" w:eastAsia="仿宋"/>
                <w:kern w:val="0"/>
                <w:sz w:val="24"/>
                <w:szCs w:val="24"/>
              </w:rPr>
              <w:t>备注</w:t>
            </w:r>
          </w:p>
        </w:tc>
        <w:tc>
          <w:tcPr>
            <w:tcW w:w="6949" w:type="dxa"/>
            <w:gridSpan w:val="2"/>
          </w:tcPr>
          <w:p>
            <w:pPr>
              <w:pStyle w:val="13"/>
              <w:spacing w:line="276" w:lineRule="auto"/>
              <w:ind w:firstLine="0" w:firstLineChars="0"/>
              <w:rPr>
                <w:rFonts w:ascii="Times New Roman" w:hAnsi="Times New Roman" w:eastAsia="仿宋"/>
                <w:sz w:val="24"/>
                <w:szCs w:val="24"/>
                <w:lang w:eastAsia="zh-Hans"/>
              </w:rPr>
            </w:pPr>
            <w:r>
              <w:rPr>
                <w:rFonts w:hint="eastAsia" w:ascii="Times New Roman" w:hAnsi="Times New Roman" w:eastAsia="仿宋"/>
                <w:sz w:val="24"/>
                <w:szCs w:val="24"/>
                <w:lang w:eastAsia="zh-Hans"/>
              </w:rPr>
              <w:t>本次集中涉及的相关市场及集中各方的市场份额如下：</w:t>
            </w:r>
          </w:p>
          <w:p>
            <w:pPr>
              <w:pStyle w:val="13"/>
              <w:spacing w:line="276" w:lineRule="auto"/>
              <w:ind w:firstLine="0" w:firstLineChars="0"/>
              <w:rPr>
                <w:rFonts w:hint="eastAsia" w:ascii="Times New Roman" w:hAnsi="Times New Roman" w:eastAsia="仿宋"/>
                <w:sz w:val="24"/>
                <w:szCs w:val="24"/>
                <w:lang w:eastAsia="zh-Hans"/>
              </w:rPr>
            </w:pPr>
          </w:p>
          <w:p>
            <w:pPr>
              <w:pStyle w:val="13"/>
              <w:numPr>
                <w:ilvl w:val="0"/>
                <w:numId w:val="1"/>
              </w:numPr>
              <w:spacing w:line="276" w:lineRule="auto"/>
              <w:ind w:firstLine="0" w:firstLineChars="0"/>
              <w:rPr>
                <w:rFonts w:ascii="Times New Roman" w:hAnsi="Times New Roman" w:eastAsia="仿宋"/>
                <w:sz w:val="24"/>
                <w:szCs w:val="24"/>
              </w:rPr>
            </w:pPr>
            <w:r>
              <w:rPr>
                <w:rFonts w:ascii="Times New Roman" w:hAnsi="Times New Roman" w:eastAsia="仿宋"/>
                <w:sz w:val="24"/>
                <w:szCs w:val="24"/>
              </w:rPr>
              <w:t>2021</w:t>
            </w:r>
            <w:r>
              <w:rPr>
                <w:rFonts w:hint="eastAsia" w:ascii="Times New Roman" w:hAnsi="Times New Roman" w:eastAsia="仿宋"/>
                <w:sz w:val="24"/>
                <w:szCs w:val="24"/>
                <w:lang w:eastAsia="zh-Hans"/>
              </w:rPr>
              <w:t>年中国</w:t>
            </w:r>
            <w:r>
              <w:rPr>
                <w:rFonts w:hint="eastAsia" w:ascii="Times New Roman" w:hAnsi="Times New Roman" w:eastAsia="仿宋"/>
                <w:sz w:val="24"/>
                <w:szCs w:val="24"/>
              </w:rPr>
              <w:t>音乐内容提供市场</w:t>
            </w:r>
            <w:r>
              <w:rPr>
                <w:rFonts w:hint="eastAsia" w:ascii="Times New Roman" w:hAnsi="Times New Roman" w:eastAsia="仿宋"/>
                <w:sz w:val="24"/>
                <w:szCs w:val="24"/>
                <w:lang w:eastAsia="zh-Hans"/>
              </w:rPr>
              <w:t>：</w:t>
            </w:r>
          </w:p>
          <w:p>
            <w:pPr>
              <w:pStyle w:val="13"/>
              <w:numPr>
                <w:ilvl w:val="255"/>
                <w:numId w:val="0"/>
              </w:numPr>
              <w:spacing w:line="276" w:lineRule="auto"/>
              <w:rPr>
                <w:rFonts w:hint="eastAsia" w:ascii="Times New Roman" w:hAnsi="Times New Roman" w:eastAsia="仿宋"/>
                <w:sz w:val="24"/>
                <w:szCs w:val="24"/>
                <w:lang w:eastAsia="zh-Hans"/>
              </w:rPr>
            </w:pPr>
            <w:r>
              <w:rPr>
                <w:rFonts w:hint="eastAsia" w:ascii="Times New Roman" w:hAnsi="Times New Roman" w:eastAsia="仿宋"/>
                <w:sz w:val="24"/>
                <w:szCs w:val="24"/>
                <w:lang w:eastAsia="zh-Hans"/>
              </w:rPr>
              <w:t>各方合计：</w:t>
            </w:r>
            <w:r>
              <w:rPr>
                <w:rFonts w:ascii="Times New Roman" w:hAnsi="Times New Roman" w:eastAsia="仿宋"/>
                <w:sz w:val="24"/>
                <w:szCs w:val="24"/>
                <w:lang w:eastAsia="zh-Hans"/>
              </w:rPr>
              <w:t>[0</w:t>
            </w:r>
            <w:r>
              <w:rPr>
                <w:rFonts w:hint="eastAsia" w:ascii="Times New Roman" w:hAnsi="Times New Roman" w:eastAsia="仿宋"/>
                <w:sz w:val="24"/>
                <w:szCs w:val="24"/>
                <w:lang w:eastAsia="zh-Hans"/>
              </w:rPr>
              <w:t>-</w:t>
            </w:r>
            <w:r>
              <w:rPr>
                <w:rFonts w:ascii="Times New Roman" w:hAnsi="Times New Roman" w:eastAsia="仿宋"/>
                <w:sz w:val="24"/>
                <w:szCs w:val="24"/>
                <w:lang w:eastAsia="zh-Hans"/>
              </w:rPr>
              <w:t>5</w:t>
            </w:r>
            <w:r>
              <w:rPr>
                <w:rFonts w:hint="eastAsia" w:ascii="Times New Roman" w:hAnsi="Times New Roman" w:eastAsia="仿宋"/>
                <w:sz w:val="24"/>
                <w:szCs w:val="24"/>
                <w:lang w:eastAsia="zh-Hans"/>
              </w:rPr>
              <w:t>%</w:t>
            </w:r>
            <w:r>
              <w:rPr>
                <w:rFonts w:ascii="Times New Roman" w:hAnsi="Times New Roman" w:eastAsia="仿宋"/>
                <w:sz w:val="24"/>
                <w:szCs w:val="24"/>
                <w:lang w:eastAsia="zh-Hans"/>
              </w:rPr>
              <w:t>]</w:t>
            </w:r>
            <w:r>
              <w:rPr>
                <w:rFonts w:hint="eastAsia" w:ascii="Times New Roman" w:hAnsi="Times New Roman" w:eastAsia="仿宋"/>
                <w:sz w:val="24"/>
                <w:szCs w:val="24"/>
                <w:lang w:eastAsia="zh-Hans"/>
              </w:rPr>
              <w:t>；</w:t>
            </w:r>
          </w:p>
          <w:p>
            <w:pPr>
              <w:pStyle w:val="13"/>
              <w:numPr>
                <w:ilvl w:val="255"/>
                <w:numId w:val="0"/>
              </w:numPr>
              <w:spacing w:line="276" w:lineRule="auto"/>
              <w:ind w:firstLine="480" w:firstLineChars="200"/>
              <w:rPr>
                <w:rFonts w:hint="eastAsia" w:ascii="Times New Roman" w:hAnsi="Times New Roman" w:eastAsia="仿宋"/>
                <w:sz w:val="24"/>
                <w:szCs w:val="24"/>
              </w:rPr>
            </w:pPr>
          </w:p>
          <w:p>
            <w:pPr>
              <w:pStyle w:val="13"/>
              <w:numPr>
                <w:ilvl w:val="0"/>
                <w:numId w:val="1"/>
              </w:numPr>
              <w:spacing w:line="276" w:lineRule="auto"/>
              <w:ind w:firstLine="0" w:firstLineChars="0"/>
              <w:rPr>
                <w:rFonts w:ascii="Times New Roman" w:hAnsi="Times New Roman" w:eastAsia="仿宋"/>
                <w:sz w:val="24"/>
                <w:szCs w:val="24"/>
              </w:rPr>
            </w:pPr>
            <w:r>
              <w:rPr>
                <w:rFonts w:ascii="Times New Roman" w:hAnsi="Times New Roman" w:eastAsia="仿宋"/>
                <w:sz w:val="24"/>
                <w:szCs w:val="24"/>
              </w:rPr>
              <w:t>2021</w:t>
            </w:r>
            <w:r>
              <w:rPr>
                <w:rFonts w:hint="eastAsia" w:ascii="Times New Roman" w:hAnsi="Times New Roman" w:eastAsia="仿宋"/>
                <w:sz w:val="24"/>
                <w:szCs w:val="24"/>
                <w:lang w:eastAsia="zh-Hans"/>
              </w:rPr>
              <w:t>年中国</w:t>
            </w:r>
            <w:r>
              <w:rPr>
                <w:rFonts w:hint="eastAsia" w:ascii="Times New Roman" w:hAnsi="Times New Roman" w:eastAsia="仿宋"/>
                <w:sz w:val="24"/>
                <w:szCs w:val="24"/>
              </w:rPr>
              <w:t>智能音乐服务解决方案市场</w:t>
            </w:r>
            <w:r>
              <w:rPr>
                <w:rFonts w:hint="eastAsia" w:ascii="Times New Roman" w:hAnsi="Times New Roman" w:eastAsia="仿宋"/>
                <w:sz w:val="24"/>
                <w:szCs w:val="24"/>
                <w:lang w:eastAsia="zh-Hans"/>
              </w:rPr>
              <w:t>：</w:t>
            </w:r>
          </w:p>
          <w:p>
            <w:pPr>
              <w:pStyle w:val="13"/>
              <w:numPr>
                <w:ilvl w:val="255"/>
                <w:numId w:val="0"/>
              </w:numPr>
              <w:spacing w:line="276" w:lineRule="auto"/>
              <w:rPr>
                <w:rFonts w:hint="eastAsia" w:ascii="Times New Roman" w:hAnsi="Times New Roman" w:eastAsia="仿宋"/>
                <w:sz w:val="24"/>
                <w:szCs w:val="24"/>
                <w:lang w:eastAsia="zh-Hans"/>
              </w:rPr>
            </w:pPr>
            <w:r>
              <w:rPr>
                <w:rFonts w:hint="eastAsia" w:ascii="Times New Roman" w:hAnsi="Times New Roman" w:eastAsia="仿宋"/>
                <w:sz w:val="24"/>
                <w:szCs w:val="24"/>
                <w:lang w:eastAsia="zh-Hans"/>
              </w:rPr>
              <w:t>各方合计：</w:t>
            </w:r>
            <w:r>
              <w:rPr>
                <w:rFonts w:ascii="Times New Roman" w:hAnsi="Times New Roman" w:eastAsia="仿宋"/>
                <w:sz w:val="24"/>
                <w:szCs w:val="24"/>
                <w:lang w:eastAsia="zh-Hans"/>
              </w:rPr>
              <w:t>[</w:t>
            </w:r>
            <w:r>
              <w:rPr>
                <w:rFonts w:hint="default" w:ascii="Times New Roman" w:hAnsi="Times New Roman" w:eastAsia="仿宋"/>
                <w:sz w:val="24"/>
                <w:szCs w:val="24"/>
                <w:lang w:eastAsia="zh-Hans"/>
              </w:rPr>
              <w:t>1</w:t>
            </w:r>
            <w:r>
              <w:rPr>
                <w:rFonts w:ascii="Times New Roman" w:hAnsi="Times New Roman" w:eastAsia="仿宋"/>
                <w:sz w:val="24"/>
                <w:szCs w:val="24"/>
                <w:lang w:eastAsia="zh-Hans"/>
              </w:rPr>
              <w:t>0</w:t>
            </w:r>
            <w:r>
              <w:rPr>
                <w:rFonts w:hint="eastAsia" w:ascii="Times New Roman" w:hAnsi="Times New Roman" w:eastAsia="仿宋"/>
                <w:sz w:val="24"/>
                <w:szCs w:val="24"/>
                <w:lang w:eastAsia="zh-Hans"/>
              </w:rPr>
              <w:t>-</w:t>
            </w:r>
            <w:r>
              <w:rPr>
                <w:rFonts w:hint="default" w:ascii="Times New Roman" w:hAnsi="Times New Roman" w:eastAsia="仿宋"/>
                <w:sz w:val="24"/>
                <w:szCs w:val="24"/>
                <w:lang w:eastAsia="zh-Hans"/>
              </w:rPr>
              <w:t>1</w:t>
            </w:r>
            <w:r>
              <w:rPr>
                <w:rFonts w:ascii="Times New Roman" w:hAnsi="Times New Roman" w:eastAsia="仿宋"/>
                <w:sz w:val="24"/>
                <w:szCs w:val="24"/>
                <w:lang w:eastAsia="zh-Hans"/>
              </w:rPr>
              <w:t>5</w:t>
            </w:r>
            <w:r>
              <w:rPr>
                <w:rFonts w:hint="eastAsia" w:ascii="Times New Roman" w:hAnsi="Times New Roman" w:eastAsia="仿宋"/>
                <w:sz w:val="24"/>
                <w:szCs w:val="24"/>
                <w:lang w:eastAsia="zh-Hans"/>
              </w:rPr>
              <w:t>%</w:t>
            </w:r>
            <w:r>
              <w:rPr>
                <w:rFonts w:ascii="Times New Roman" w:hAnsi="Times New Roman" w:eastAsia="仿宋"/>
                <w:sz w:val="24"/>
                <w:szCs w:val="24"/>
                <w:lang w:eastAsia="zh-Hans"/>
              </w:rPr>
              <w:t>]</w:t>
            </w:r>
            <w:r>
              <w:rPr>
                <w:rFonts w:hint="eastAsia" w:ascii="Times New Roman" w:hAnsi="Times New Roman" w:eastAsia="仿宋"/>
                <w:sz w:val="24"/>
                <w:szCs w:val="24"/>
                <w:lang w:eastAsia="zh-Hans"/>
              </w:rPr>
              <w:t>；</w:t>
            </w:r>
          </w:p>
          <w:p>
            <w:pPr>
              <w:pStyle w:val="13"/>
              <w:numPr>
                <w:ilvl w:val="255"/>
                <w:numId w:val="0"/>
              </w:numPr>
              <w:spacing w:line="276" w:lineRule="auto"/>
              <w:ind w:firstLine="480" w:firstLineChars="200"/>
              <w:rPr>
                <w:rFonts w:hint="eastAsia" w:ascii="Times New Roman" w:hAnsi="Times New Roman" w:eastAsia="仿宋"/>
                <w:sz w:val="24"/>
                <w:szCs w:val="24"/>
              </w:rPr>
            </w:pPr>
          </w:p>
          <w:p>
            <w:pPr>
              <w:pStyle w:val="13"/>
              <w:numPr>
                <w:ilvl w:val="0"/>
                <w:numId w:val="1"/>
              </w:numPr>
              <w:spacing w:line="276" w:lineRule="auto"/>
              <w:ind w:firstLine="0" w:firstLineChars="0"/>
              <w:rPr>
                <w:rFonts w:ascii="Times New Roman" w:hAnsi="Times New Roman" w:eastAsia="仿宋"/>
                <w:sz w:val="24"/>
                <w:szCs w:val="24"/>
              </w:rPr>
            </w:pPr>
            <w:r>
              <w:rPr>
                <w:rFonts w:ascii="Times New Roman" w:hAnsi="Times New Roman" w:eastAsia="仿宋"/>
                <w:sz w:val="24"/>
                <w:szCs w:val="24"/>
                <w:lang w:eastAsia="zh-Hans"/>
              </w:rPr>
              <w:t>2021</w:t>
            </w:r>
            <w:r>
              <w:rPr>
                <w:rFonts w:hint="eastAsia" w:ascii="Times New Roman" w:hAnsi="Times New Roman" w:eastAsia="仿宋"/>
                <w:sz w:val="24"/>
                <w:szCs w:val="24"/>
                <w:lang w:eastAsia="zh-Hans"/>
              </w:rPr>
              <w:t>年中国</w:t>
            </w:r>
            <w:r>
              <w:rPr>
                <w:rFonts w:hint="eastAsia" w:ascii="Times New Roman" w:hAnsi="Times New Roman" w:eastAsia="仿宋"/>
                <w:sz w:val="24"/>
                <w:szCs w:val="24"/>
              </w:rPr>
              <w:t>耳机市场</w:t>
            </w:r>
            <w:r>
              <w:rPr>
                <w:rFonts w:hint="eastAsia" w:ascii="Times New Roman" w:hAnsi="Times New Roman" w:eastAsia="仿宋"/>
                <w:sz w:val="24"/>
                <w:szCs w:val="24"/>
                <w:lang w:eastAsia="zh-Hans"/>
              </w:rPr>
              <w:t>：</w:t>
            </w:r>
          </w:p>
          <w:p>
            <w:pPr>
              <w:pStyle w:val="13"/>
              <w:spacing w:line="276" w:lineRule="auto"/>
              <w:ind w:firstLine="0" w:firstLineChars="0"/>
              <w:rPr>
                <w:rFonts w:ascii="Times New Roman" w:hAnsi="Times New Roman" w:eastAsia="仿宋"/>
                <w:sz w:val="24"/>
                <w:szCs w:val="24"/>
                <w:lang w:eastAsia="zh-Hans"/>
              </w:rPr>
            </w:pPr>
            <w:r>
              <w:rPr>
                <w:rFonts w:hint="eastAsia" w:ascii="Times New Roman" w:hAnsi="Times New Roman" w:eastAsia="仿宋"/>
                <w:sz w:val="24"/>
                <w:szCs w:val="24"/>
                <w:lang w:eastAsia="zh-Hans"/>
              </w:rPr>
              <w:t>各方合计：</w:t>
            </w:r>
            <w:r>
              <w:rPr>
                <w:rFonts w:ascii="Times New Roman" w:hAnsi="Times New Roman" w:eastAsia="仿宋"/>
                <w:sz w:val="24"/>
                <w:szCs w:val="24"/>
                <w:lang w:eastAsia="zh-Hans"/>
              </w:rPr>
              <w:t>[0</w:t>
            </w:r>
            <w:r>
              <w:rPr>
                <w:rFonts w:hint="eastAsia" w:ascii="Times New Roman" w:hAnsi="Times New Roman" w:eastAsia="仿宋"/>
                <w:sz w:val="24"/>
                <w:szCs w:val="24"/>
                <w:lang w:eastAsia="zh-Hans"/>
              </w:rPr>
              <w:t>-</w:t>
            </w:r>
            <w:r>
              <w:rPr>
                <w:rFonts w:ascii="Times New Roman" w:hAnsi="Times New Roman" w:eastAsia="仿宋"/>
                <w:sz w:val="24"/>
                <w:szCs w:val="24"/>
                <w:lang w:eastAsia="zh-Hans"/>
              </w:rPr>
              <w:t>5</w:t>
            </w:r>
            <w:r>
              <w:rPr>
                <w:rFonts w:hint="eastAsia" w:ascii="Times New Roman" w:hAnsi="Times New Roman" w:eastAsia="仿宋"/>
                <w:sz w:val="24"/>
                <w:szCs w:val="24"/>
                <w:lang w:eastAsia="zh-Hans"/>
              </w:rPr>
              <w:t>%</w:t>
            </w:r>
            <w:r>
              <w:rPr>
                <w:rFonts w:ascii="Times New Roman" w:hAnsi="Times New Roman" w:eastAsia="仿宋"/>
                <w:sz w:val="24"/>
                <w:szCs w:val="24"/>
                <w:lang w:eastAsia="zh-Hans"/>
              </w:rPr>
              <w:t>]</w:t>
            </w:r>
            <w:r>
              <w:rPr>
                <w:rFonts w:hint="eastAsia" w:ascii="Times New Roman" w:hAnsi="Times New Roman" w:eastAsia="仿宋"/>
                <w:sz w:val="24"/>
                <w:szCs w:val="24"/>
                <w:lang w:eastAsia="zh-Hans"/>
              </w:rPr>
              <w:t>。</w:t>
            </w:r>
          </w:p>
          <w:p>
            <w:pPr>
              <w:pStyle w:val="13"/>
              <w:numPr>
                <w:ilvl w:val="255"/>
                <w:numId w:val="0"/>
              </w:numPr>
              <w:spacing w:line="276" w:lineRule="auto"/>
              <w:ind w:left="0" w:firstLine="480" w:firstLineChars="200"/>
              <w:rPr>
                <w:rFonts w:ascii="Times New Roman" w:hAnsi="Times New Roman" w:eastAsia="仿宋"/>
                <w:sz w:val="24"/>
                <w:szCs w:val="24"/>
                <w:lang w:eastAsia="zh-Hans"/>
              </w:rPr>
            </w:pPr>
          </w:p>
        </w:tc>
      </w:tr>
    </w:tbl>
    <w:p>
      <w:pPr>
        <w:spacing w:line="276" w:lineRule="auto"/>
        <w:rPr>
          <w:rFonts w:ascii="Times New Roman" w:hAnsi="Times New Roman" w:eastAsia="仿宋_GB2312"/>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仿宋">
    <w:altName w:val="方正仿宋_GBK"/>
    <w:panose1 w:val="020B0604020202020204"/>
    <w:charset w:val="86"/>
    <w:family w:val="modern"/>
    <w:pitch w:val="default"/>
    <w:sig w:usb0="00000000" w:usb1="00000000" w:usb2="00000016" w:usb3="00000000" w:csb0="00040001" w:csb1="00000000"/>
  </w:font>
  <w:font w:name="方正仿宋_GBK">
    <w:panose1 w:val="02000000000000000000"/>
    <w:charset w:val="86"/>
    <w:family w:val="auto"/>
    <w:pitch w:val="default"/>
    <w:sig w:usb0="00000000" w:usb1="00000000" w:usb2="00000000" w:usb3="00000000" w:csb0="00160000" w:csb1="00000000"/>
  </w:font>
  <w:font w:name="仿宋_GB2312">
    <w:altName w:val="方正仿宋_GBK"/>
    <w:panose1 w:val="020B0604020202020204"/>
    <w:charset w:val="00"/>
    <w:family w:val="modern"/>
    <w:pitch w:val="default"/>
    <w:sig w:usb0="00000000" w:usb1="00000000" w:usb2="00000000" w:usb3="00000000" w:csb0="0004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76F4A4"/>
    <w:multiLevelType w:val="singleLevel"/>
    <w:tmpl w:val="D076F4A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16942"/>
    <w:rsid w:val="0001746D"/>
    <w:rsid w:val="00037065"/>
    <w:rsid w:val="000463D1"/>
    <w:rsid w:val="00052D4A"/>
    <w:rsid w:val="00054BAC"/>
    <w:rsid w:val="0006703A"/>
    <w:rsid w:val="00071BFC"/>
    <w:rsid w:val="000812FA"/>
    <w:rsid w:val="00082013"/>
    <w:rsid w:val="00082D12"/>
    <w:rsid w:val="00092B69"/>
    <w:rsid w:val="000D1BD5"/>
    <w:rsid w:val="000D7EBA"/>
    <w:rsid w:val="001164CD"/>
    <w:rsid w:val="00135570"/>
    <w:rsid w:val="00136823"/>
    <w:rsid w:val="00137B66"/>
    <w:rsid w:val="0014402A"/>
    <w:rsid w:val="00155717"/>
    <w:rsid w:val="00162A4A"/>
    <w:rsid w:val="001837A3"/>
    <w:rsid w:val="001D3175"/>
    <w:rsid w:val="001F4E88"/>
    <w:rsid w:val="00213BCA"/>
    <w:rsid w:val="0023704E"/>
    <w:rsid w:val="002460EE"/>
    <w:rsid w:val="0027078B"/>
    <w:rsid w:val="00282A68"/>
    <w:rsid w:val="00297214"/>
    <w:rsid w:val="002F3D52"/>
    <w:rsid w:val="00300479"/>
    <w:rsid w:val="00311F98"/>
    <w:rsid w:val="003166E5"/>
    <w:rsid w:val="003244CE"/>
    <w:rsid w:val="00330CC0"/>
    <w:rsid w:val="0035230D"/>
    <w:rsid w:val="003578D8"/>
    <w:rsid w:val="00390CC7"/>
    <w:rsid w:val="00392883"/>
    <w:rsid w:val="00397794"/>
    <w:rsid w:val="003B1DFA"/>
    <w:rsid w:val="003C0AEB"/>
    <w:rsid w:val="003D6377"/>
    <w:rsid w:val="00412CC5"/>
    <w:rsid w:val="0042296E"/>
    <w:rsid w:val="00426851"/>
    <w:rsid w:val="00433903"/>
    <w:rsid w:val="0044522B"/>
    <w:rsid w:val="00460FB4"/>
    <w:rsid w:val="00465AF8"/>
    <w:rsid w:val="00466FFD"/>
    <w:rsid w:val="00467A78"/>
    <w:rsid w:val="00473885"/>
    <w:rsid w:val="0049048E"/>
    <w:rsid w:val="0049286A"/>
    <w:rsid w:val="00493EBC"/>
    <w:rsid w:val="00496100"/>
    <w:rsid w:val="004A164F"/>
    <w:rsid w:val="004A4B9A"/>
    <w:rsid w:val="004D7F82"/>
    <w:rsid w:val="004F32F3"/>
    <w:rsid w:val="004F431A"/>
    <w:rsid w:val="004F4CCC"/>
    <w:rsid w:val="004F7688"/>
    <w:rsid w:val="00502170"/>
    <w:rsid w:val="005231C4"/>
    <w:rsid w:val="00533330"/>
    <w:rsid w:val="005354AF"/>
    <w:rsid w:val="0053633E"/>
    <w:rsid w:val="00540581"/>
    <w:rsid w:val="00544AE7"/>
    <w:rsid w:val="00556606"/>
    <w:rsid w:val="00561070"/>
    <w:rsid w:val="00567545"/>
    <w:rsid w:val="0057024C"/>
    <w:rsid w:val="00583C28"/>
    <w:rsid w:val="00595E2B"/>
    <w:rsid w:val="005A177B"/>
    <w:rsid w:val="005A5CC4"/>
    <w:rsid w:val="005E0B5E"/>
    <w:rsid w:val="005E6E18"/>
    <w:rsid w:val="00635A39"/>
    <w:rsid w:val="006467D8"/>
    <w:rsid w:val="006737E4"/>
    <w:rsid w:val="00681E6B"/>
    <w:rsid w:val="006848AF"/>
    <w:rsid w:val="006A31BF"/>
    <w:rsid w:val="006A34B8"/>
    <w:rsid w:val="006A531B"/>
    <w:rsid w:val="006F3AF6"/>
    <w:rsid w:val="006F7693"/>
    <w:rsid w:val="0070759E"/>
    <w:rsid w:val="00710140"/>
    <w:rsid w:val="00714E23"/>
    <w:rsid w:val="007327A7"/>
    <w:rsid w:val="007432B1"/>
    <w:rsid w:val="007652E6"/>
    <w:rsid w:val="007703E0"/>
    <w:rsid w:val="007A0F54"/>
    <w:rsid w:val="007A6FC7"/>
    <w:rsid w:val="007B5510"/>
    <w:rsid w:val="007B6176"/>
    <w:rsid w:val="007D37E9"/>
    <w:rsid w:val="007F0E69"/>
    <w:rsid w:val="007F2275"/>
    <w:rsid w:val="007F7AB4"/>
    <w:rsid w:val="00800174"/>
    <w:rsid w:val="008350F4"/>
    <w:rsid w:val="0086722E"/>
    <w:rsid w:val="008760DD"/>
    <w:rsid w:val="008B1615"/>
    <w:rsid w:val="008C5408"/>
    <w:rsid w:val="008D3195"/>
    <w:rsid w:val="008D5A1D"/>
    <w:rsid w:val="008D7994"/>
    <w:rsid w:val="008E1DBF"/>
    <w:rsid w:val="008E4389"/>
    <w:rsid w:val="008F26ED"/>
    <w:rsid w:val="008F329F"/>
    <w:rsid w:val="008F5BAF"/>
    <w:rsid w:val="00915F0F"/>
    <w:rsid w:val="009216CE"/>
    <w:rsid w:val="009221E2"/>
    <w:rsid w:val="009228E7"/>
    <w:rsid w:val="009441ED"/>
    <w:rsid w:val="009532DF"/>
    <w:rsid w:val="00964002"/>
    <w:rsid w:val="00971EE1"/>
    <w:rsid w:val="009749AE"/>
    <w:rsid w:val="00975C84"/>
    <w:rsid w:val="009926E2"/>
    <w:rsid w:val="00997019"/>
    <w:rsid w:val="009A5029"/>
    <w:rsid w:val="009A6E27"/>
    <w:rsid w:val="009B5FA5"/>
    <w:rsid w:val="009C02F9"/>
    <w:rsid w:val="009C1563"/>
    <w:rsid w:val="009C400A"/>
    <w:rsid w:val="009C727A"/>
    <w:rsid w:val="009D38D5"/>
    <w:rsid w:val="009D5152"/>
    <w:rsid w:val="00A5258D"/>
    <w:rsid w:val="00A53F26"/>
    <w:rsid w:val="00A6103E"/>
    <w:rsid w:val="00A6251D"/>
    <w:rsid w:val="00A8399C"/>
    <w:rsid w:val="00A875CD"/>
    <w:rsid w:val="00A94705"/>
    <w:rsid w:val="00AA0CC5"/>
    <w:rsid w:val="00AA5DC9"/>
    <w:rsid w:val="00AB0949"/>
    <w:rsid w:val="00AE19CD"/>
    <w:rsid w:val="00AF69A2"/>
    <w:rsid w:val="00AF7CF5"/>
    <w:rsid w:val="00B01EA7"/>
    <w:rsid w:val="00B16AFE"/>
    <w:rsid w:val="00B65DD5"/>
    <w:rsid w:val="00BA2044"/>
    <w:rsid w:val="00BA4778"/>
    <w:rsid w:val="00BC0102"/>
    <w:rsid w:val="00BC67CF"/>
    <w:rsid w:val="00BC785F"/>
    <w:rsid w:val="00BD10B6"/>
    <w:rsid w:val="00BF44D8"/>
    <w:rsid w:val="00BF4DCC"/>
    <w:rsid w:val="00C07076"/>
    <w:rsid w:val="00C300A5"/>
    <w:rsid w:val="00C467A1"/>
    <w:rsid w:val="00C71021"/>
    <w:rsid w:val="00C95FF2"/>
    <w:rsid w:val="00CA2C00"/>
    <w:rsid w:val="00CB00DF"/>
    <w:rsid w:val="00CB14DA"/>
    <w:rsid w:val="00CB2271"/>
    <w:rsid w:val="00CC77DD"/>
    <w:rsid w:val="00CE2E7B"/>
    <w:rsid w:val="00D434CD"/>
    <w:rsid w:val="00D56F4A"/>
    <w:rsid w:val="00D73C72"/>
    <w:rsid w:val="00D745F2"/>
    <w:rsid w:val="00D8317D"/>
    <w:rsid w:val="00DA46DC"/>
    <w:rsid w:val="00DB0E4F"/>
    <w:rsid w:val="00DC2891"/>
    <w:rsid w:val="00E00ACB"/>
    <w:rsid w:val="00E0592B"/>
    <w:rsid w:val="00E21D54"/>
    <w:rsid w:val="00E31738"/>
    <w:rsid w:val="00E33332"/>
    <w:rsid w:val="00E53754"/>
    <w:rsid w:val="00E8434A"/>
    <w:rsid w:val="00E86786"/>
    <w:rsid w:val="00E9290E"/>
    <w:rsid w:val="00EC1401"/>
    <w:rsid w:val="00EC1743"/>
    <w:rsid w:val="00ED2D0B"/>
    <w:rsid w:val="00ED2F80"/>
    <w:rsid w:val="00EE02AB"/>
    <w:rsid w:val="00EE0A39"/>
    <w:rsid w:val="00F01FBB"/>
    <w:rsid w:val="00F04050"/>
    <w:rsid w:val="00F10246"/>
    <w:rsid w:val="00F1624E"/>
    <w:rsid w:val="00F237C1"/>
    <w:rsid w:val="00F30B17"/>
    <w:rsid w:val="00F323EB"/>
    <w:rsid w:val="00F32F8A"/>
    <w:rsid w:val="00F34B27"/>
    <w:rsid w:val="00F47FA3"/>
    <w:rsid w:val="00F53CBB"/>
    <w:rsid w:val="00F75AEF"/>
    <w:rsid w:val="00F810AA"/>
    <w:rsid w:val="00F97F3D"/>
    <w:rsid w:val="00FA08B3"/>
    <w:rsid w:val="00FA24CF"/>
    <w:rsid w:val="00FB3725"/>
    <w:rsid w:val="00FB43EC"/>
    <w:rsid w:val="00FB6B40"/>
    <w:rsid w:val="00FC6CD1"/>
    <w:rsid w:val="00FF255C"/>
    <w:rsid w:val="00FF703D"/>
    <w:rsid w:val="0138380A"/>
    <w:rsid w:val="1F650650"/>
    <w:rsid w:val="1F7BCC90"/>
    <w:rsid w:val="259E5D0B"/>
    <w:rsid w:val="44FC1472"/>
    <w:rsid w:val="50974931"/>
    <w:rsid w:val="59E90682"/>
    <w:rsid w:val="5BF77BBE"/>
    <w:rsid w:val="5EED68A9"/>
    <w:rsid w:val="677E361F"/>
    <w:rsid w:val="725E1853"/>
    <w:rsid w:val="7DEF6581"/>
    <w:rsid w:val="7FBB2C29"/>
    <w:rsid w:val="7FC7ACB6"/>
    <w:rsid w:val="E5FF40F1"/>
    <w:rsid w:val="ECFF351B"/>
    <w:rsid w:val="EF778552"/>
    <w:rsid w:val="F7EB4E0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qFormat/>
    <w:uiPriority w:val="99"/>
    <w:rPr>
      <w:b/>
      <w:bCs/>
    </w:rPr>
  </w:style>
  <w:style w:type="character" w:styleId="9">
    <w:name w:val="Emphasis"/>
    <w:basedOn w:val="8"/>
    <w:qFormat/>
    <w:uiPriority w:val="20"/>
    <w:rPr>
      <w:i/>
    </w:rPr>
  </w:style>
  <w:style w:type="character" w:styleId="10">
    <w:name w:val="annotation reference"/>
    <w:basedOn w:val="8"/>
    <w:semiHidden/>
    <w:unhideWhenUsed/>
    <w:qFormat/>
    <w:uiPriority w:val="99"/>
    <w:rPr>
      <w:sz w:val="21"/>
      <w:szCs w:val="21"/>
    </w:rPr>
  </w:style>
  <w:style w:type="character" w:customStyle="1" w:styleId="11">
    <w:name w:val="页眉 字符"/>
    <w:basedOn w:val="8"/>
    <w:link w:val="5"/>
    <w:qFormat/>
    <w:uiPriority w:val="99"/>
    <w:rPr>
      <w:rFonts w:ascii="Calibri" w:hAnsi="Calibri" w:eastAsia="宋体" w:cs="Times New Roman"/>
      <w:sz w:val="18"/>
      <w:szCs w:val="18"/>
    </w:rPr>
  </w:style>
  <w:style w:type="character" w:customStyle="1" w:styleId="12">
    <w:name w:val="页脚 字符"/>
    <w:basedOn w:val="8"/>
    <w:link w:val="4"/>
    <w:qFormat/>
    <w:uiPriority w:val="99"/>
    <w:rPr>
      <w:rFonts w:ascii="Calibri" w:hAnsi="Calibri" w:eastAsia="宋体" w:cs="Times New Roman"/>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8"/>
    <w:link w:val="3"/>
    <w:semiHidden/>
    <w:qFormat/>
    <w:uiPriority w:val="99"/>
    <w:rPr>
      <w:rFonts w:ascii="Calibri" w:hAnsi="Calibri" w:eastAsia="宋体" w:cs="Times New Roman"/>
      <w:sz w:val="18"/>
      <w:szCs w:val="18"/>
    </w:rPr>
  </w:style>
  <w:style w:type="character" w:customStyle="1" w:styleId="15">
    <w:name w:val="批注文字 字符"/>
    <w:basedOn w:val="8"/>
    <w:link w:val="2"/>
    <w:qFormat/>
    <w:uiPriority w:val="99"/>
    <w:rPr>
      <w:rFonts w:ascii="Calibri" w:hAnsi="Calibri" w:eastAsia="宋体" w:cs="Times New Roman"/>
    </w:rPr>
  </w:style>
  <w:style w:type="character" w:customStyle="1" w:styleId="16">
    <w:name w:val="批注主题 字符"/>
    <w:basedOn w:val="15"/>
    <w:link w:val="6"/>
    <w:semiHidden/>
    <w:qFormat/>
    <w:uiPriority w:val="99"/>
    <w:rPr>
      <w:rFonts w:ascii="Calibri" w:hAnsi="Calibri" w:eastAsia="宋体" w:cs="Times New Roman"/>
      <w:b/>
      <w:bCs/>
    </w:rPr>
  </w:style>
  <w:style w:type="paragraph" w:customStyle="1" w:styleId="17">
    <w:name w:val="修订1"/>
    <w:hidden/>
    <w:semiHidden/>
    <w:qFormat/>
    <w:uiPriority w:val="99"/>
    <w:rPr>
      <w:rFonts w:ascii="Calibri" w:hAnsi="Calibri" w:eastAsia="宋体" w:cs="Times New Roman"/>
      <w:kern w:val="2"/>
      <w:sz w:val="21"/>
      <w:szCs w:val="22"/>
      <w:lang w:val="en-US" w:eastAsia="zh-CN" w:bidi="ar-SA"/>
    </w:rPr>
  </w:style>
  <w:style w:type="paragraph" w:customStyle="1" w:styleId="18">
    <w:name w:val="修订2"/>
    <w:hidden/>
    <w:semiHidden/>
    <w:qFormat/>
    <w:uiPriority w:val="99"/>
    <w:rPr>
      <w:rFonts w:ascii="Calibri" w:hAnsi="Calibri" w:eastAsia="宋体" w:cs="Times New Roman"/>
      <w:kern w:val="2"/>
      <w:sz w:val="21"/>
      <w:szCs w:val="22"/>
      <w:lang w:val="en-US" w:eastAsia="zh-CN" w:bidi="ar-SA"/>
    </w:rPr>
  </w:style>
  <w:style w:type="paragraph" w:customStyle="1" w:styleId="19">
    <w:name w:val="修订3"/>
    <w:hidden/>
    <w:semiHidden/>
    <w:qFormat/>
    <w:uiPriority w:val="99"/>
    <w:rPr>
      <w:rFonts w:ascii="Calibri" w:hAnsi="Calibri" w:eastAsia="宋体" w:cs="Times New Roman"/>
      <w:kern w:val="2"/>
      <w:sz w:val="21"/>
      <w:szCs w:val="22"/>
      <w:lang w:val="en-US" w:eastAsia="zh-CN" w:bidi="ar-SA"/>
    </w:rPr>
  </w:style>
  <w:style w:type="paragraph" w:customStyle="1" w:styleId="20">
    <w:name w:val="Revision"/>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CM</Company>
  <Pages>2</Pages>
  <Words>228</Words>
  <Characters>1306</Characters>
  <Lines>10</Lines>
  <Paragraphs>3</Paragraphs>
  <TotalTime>53</TotalTime>
  <ScaleCrop>false</ScaleCrop>
  <LinksUpToDate>false</LinksUpToDate>
  <CharactersWithSpaces>1531</CharactersWithSpaces>
  <Application>WPS Office_4.3.0.7280_F1E327BC-269C-435d-A152-05C5408002CA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2022-10-10T22:28:00Z</dcterms:created>
  <dc:creator>CM-LAW</dc:creator>
  <cp:lastModifiedBy>CM-Law</cp:lastModifiedBy>
  <dcterms:modified xsi:type="dcterms:W3CDTF">2022-10-12T16:21:10Z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2052-4.3.0.7280</vt:lpwstr>
  </property>
  <property fmtid="{D5CDD505-2E9C-101B-9397-08002B2CF9AE}" pid="3" name="ICV">
    <vt:lpwstr>EDF0B887F4EE350EF67846637C99DD2E</vt:lpwstr>
  </property>
</Properties>
</file>