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center"/>
        <w:rPr>
          <w:rFonts w:ascii="Times New Roman" w:hAnsi="Times New Roman"/>
          <w:sz w:val="28"/>
          <w:szCs w:val="28"/>
        </w:rPr>
      </w:pPr>
      <w:bookmarkStart w:id="0" w:name="_GoBack"/>
      <w:bookmarkEnd w:id="0"/>
      <w:r>
        <w:rPr>
          <w:rFonts w:ascii="Times New Roman" w:hAnsi="Times New Roman"/>
          <w:b/>
          <w:sz w:val="28"/>
          <w:szCs w:val="28"/>
        </w:rPr>
        <w:t>经营者集中简易案件公示表</w:t>
      </w:r>
    </w:p>
    <w:tbl>
      <w:tblPr>
        <w:tblStyle w:val="7"/>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2030"/>
        <w:gridCol w:w="46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5" w:hRule="atLeast"/>
        </w:trPr>
        <w:tc>
          <w:tcPr>
            <w:tcW w:w="1560" w:type="dxa"/>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案件名称</w:t>
            </w:r>
          </w:p>
        </w:tc>
        <w:tc>
          <w:tcPr>
            <w:tcW w:w="6662" w:type="dxa"/>
            <w:gridSpan w:val="2"/>
            <w:vAlign w:val="center"/>
          </w:tcPr>
          <w:p>
            <w:pPr>
              <w:snapToGrid w:val="0"/>
              <w:rPr>
                <w:rFonts w:ascii="Times New Roman" w:hAnsi="Times New Roman"/>
                <w:color w:val="333333"/>
                <w:kern w:val="0"/>
                <w:sz w:val="24"/>
                <w:szCs w:val="24"/>
              </w:rPr>
            </w:pPr>
            <w:r>
              <w:rPr>
                <w:rFonts w:hint="eastAsia" w:ascii="Times New Roman Regular" w:hAnsi="Times New Roman Regular" w:cs="Times New Roman Regular"/>
                <w:kern w:val="0"/>
                <w:sz w:val="24"/>
                <w:szCs w:val="24"/>
                <w:lang w:eastAsia="zh-Hans"/>
              </w:rPr>
              <w:t>全球基础设施合作伙伴核心C2中级有限合伙和KKR公司收购万塔奇铁塔公司股权案</w:t>
            </w:r>
          </w:p>
        </w:tc>
      </w:tr>
      <w:tr>
        <w:trPr>
          <w:trHeight w:val="1414" w:hRule="atLeast"/>
        </w:trPr>
        <w:tc>
          <w:tcPr>
            <w:tcW w:w="1560" w:type="dxa"/>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交易概况</w:t>
            </w:r>
          </w:p>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（限200字内）</w:t>
            </w:r>
          </w:p>
        </w:tc>
        <w:tc>
          <w:tcPr>
            <w:tcW w:w="6662" w:type="dxa"/>
            <w:gridSpan w:val="2"/>
            <w:vAlign w:val="center"/>
          </w:tcPr>
          <w:p>
            <w:pPr>
              <w:snapToGrid w:val="0"/>
              <w:rPr>
                <w:rFonts w:ascii="Times New Roman" w:hAnsi="Times New Roman"/>
                <w:sz w:val="24"/>
                <w:szCs w:val="24"/>
              </w:rPr>
            </w:pPr>
            <w:r>
              <w:rPr>
                <w:rFonts w:hint="eastAsia" w:ascii="Times New Roman" w:hAnsi="Times New Roman"/>
                <w:sz w:val="24"/>
                <w:szCs w:val="24"/>
                <w:lang w:eastAsia="zh-Hans"/>
              </w:rPr>
              <w:t>沃达丰集团股份有限公司（“</w:t>
            </w:r>
            <w:r>
              <w:rPr>
                <w:rFonts w:hint="eastAsia" w:ascii="Times New Roman Bold" w:hAnsi="Times New Roman Bold" w:cs="Times New Roman Bold"/>
                <w:b/>
                <w:bCs/>
                <w:sz w:val="24"/>
                <w:szCs w:val="24"/>
                <w:lang w:eastAsia="zh-Hans"/>
              </w:rPr>
              <w:t>沃达丰</w:t>
            </w:r>
            <w:r>
              <w:rPr>
                <w:rFonts w:hint="eastAsia" w:ascii="Times New Roman" w:hAnsi="Times New Roman"/>
                <w:sz w:val="24"/>
                <w:szCs w:val="24"/>
                <w:lang w:eastAsia="zh-Hans"/>
              </w:rPr>
              <w:t>”）通过其关联实体与</w:t>
            </w:r>
            <w:r>
              <w:rPr>
                <w:rFonts w:hint="eastAsia" w:ascii="Times New Roman Regular" w:hAnsi="Times New Roman Regular" w:cs="Times New Roman Regular"/>
                <w:kern w:val="0"/>
                <w:sz w:val="24"/>
                <w:szCs w:val="24"/>
                <w:lang w:eastAsia="zh-Hans"/>
              </w:rPr>
              <w:t>全球基础设施合作伙伴核心C2中级有限合伙</w:t>
            </w:r>
            <w:r>
              <w:rPr>
                <w:rFonts w:hint="eastAsia" w:ascii="Times New Roman" w:hAnsi="Times New Roman"/>
                <w:sz w:val="24"/>
                <w:szCs w:val="24"/>
                <w:lang w:eastAsia="zh-Hans"/>
              </w:rPr>
              <w:t>（“</w:t>
            </w:r>
            <w:r>
              <w:rPr>
                <w:rFonts w:hint="eastAsia" w:ascii="Times New Roman Bold" w:hAnsi="Times New Roman Bold" w:cs="Times New Roman Bold"/>
                <w:b/>
                <w:bCs/>
                <w:sz w:val="24"/>
                <w:szCs w:val="24"/>
                <w:lang w:eastAsia="zh-Hans"/>
              </w:rPr>
              <w:t>全球基础设施核心C2</w:t>
            </w:r>
            <w:r>
              <w:rPr>
                <w:rFonts w:hint="eastAsia" w:ascii="Times New Roman" w:hAnsi="Times New Roman"/>
                <w:sz w:val="24"/>
                <w:szCs w:val="24"/>
                <w:lang w:eastAsia="zh-Hans"/>
              </w:rPr>
              <w:t>”）和</w:t>
            </w:r>
            <w:r>
              <w:rPr>
                <w:rFonts w:hint="eastAsia" w:ascii="Times New Roman" w:hAnsi="Times New Roman"/>
                <w:sz w:val="24"/>
                <w:szCs w:val="24"/>
                <w:lang w:val="en-US" w:eastAsia="zh-Hans"/>
              </w:rPr>
              <w:t>由</w:t>
            </w:r>
            <w:r>
              <w:rPr>
                <w:rFonts w:ascii="Times New Roman Regular" w:hAnsi="Times New Roman Regular" w:cs="Times New Roman Regular"/>
                <w:kern w:val="0"/>
                <w:sz w:val="24"/>
                <w:szCs w:val="24"/>
              </w:rPr>
              <w:t>KKR</w:t>
            </w:r>
            <w:r>
              <w:rPr>
                <w:rFonts w:hint="default" w:ascii="Times New Roman Regular" w:hAnsi="Times New Roman Regular" w:cs="Times New Roman Regular"/>
                <w:kern w:val="0"/>
                <w:sz w:val="24"/>
                <w:szCs w:val="24"/>
              </w:rPr>
              <w:t>公司</w:t>
            </w:r>
            <w:r>
              <w:rPr>
                <w:rFonts w:hint="eastAsia" w:ascii="Times New Roman Regular" w:hAnsi="Times New Roman Regular" w:cs="Times New Roman Regular"/>
                <w:kern w:val="0"/>
                <w:sz w:val="24"/>
                <w:szCs w:val="24"/>
                <w:lang w:val="en-US" w:eastAsia="zh-Hans"/>
              </w:rPr>
              <w:t>的</w:t>
            </w:r>
            <w:r>
              <w:rPr>
                <w:rFonts w:hint="default" w:ascii="Times New Roman Regular" w:hAnsi="Times New Roman Regular" w:cs="Times New Roman Regular"/>
                <w:kern w:val="0"/>
                <w:sz w:val="24"/>
                <w:szCs w:val="24"/>
                <w:lang w:eastAsia="zh-Hans"/>
              </w:rPr>
              <w:t>多家子</w:t>
            </w:r>
            <w:r>
              <w:rPr>
                <w:rFonts w:hint="eastAsia" w:cs="宋体"/>
                <w:kern w:val="0"/>
                <w:sz w:val="24"/>
                <w:szCs w:val="24"/>
                <w:lang w:eastAsia="zh-Hans"/>
              </w:rPr>
              <w:t>公司</w:t>
            </w:r>
            <w:r>
              <w:rPr>
                <w:rFonts w:hint="eastAsia" w:cs="宋体"/>
                <w:kern w:val="0"/>
                <w:sz w:val="24"/>
                <w:szCs w:val="24"/>
              </w:rPr>
              <w:t>提供咨询和管理的投资基金、工具和/或账户</w:t>
            </w:r>
            <w:r>
              <w:rPr>
                <w:rFonts w:hint="default" w:ascii="Times New Roman Regular" w:hAnsi="Times New Roman Regular" w:cs="Times New Roman Regular"/>
                <w:kern w:val="0"/>
                <w:sz w:val="24"/>
                <w:szCs w:val="24"/>
              </w:rPr>
              <w:t>（</w:t>
            </w:r>
            <w:r>
              <w:rPr>
                <w:rFonts w:hint="eastAsia" w:ascii="宋体" w:hAnsi="宋体" w:eastAsia="宋体" w:cs="宋体"/>
                <w:kern w:val="0"/>
                <w:sz w:val="24"/>
                <w:szCs w:val="24"/>
              </w:rPr>
              <w:t>“</w:t>
            </w:r>
            <w:r>
              <w:rPr>
                <w:rFonts w:hint="default" w:ascii="Times New Roman Regular" w:hAnsi="Times New Roman Regular" w:eastAsia="宋体" w:cs="Times New Roman Regular"/>
                <w:b/>
                <w:bCs w:val="0"/>
                <w:kern w:val="0"/>
                <w:sz w:val="24"/>
                <w:szCs w:val="24"/>
              </w:rPr>
              <w:t>KKR公司</w:t>
            </w:r>
            <w:r>
              <w:rPr>
                <w:rFonts w:hint="eastAsia" w:ascii="宋体" w:hAnsi="宋体" w:eastAsia="宋体" w:cs="宋体"/>
                <w:kern w:val="0"/>
                <w:sz w:val="24"/>
                <w:szCs w:val="24"/>
              </w:rPr>
              <w:t>”，与其子公司合称“</w:t>
            </w:r>
            <w:r>
              <w:rPr>
                <w:rFonts w:hint="default" w:ascii="Times New Roman Regular" w:hAnsi="Times New Roman Regular" w:eastAsia="宋体" w:cs="Times New Roman Regular"/>
                <w:b/>
                <w:bCs w:val="0"/>
                <w:kern w:val="0"/>
                <w:sz w:val="24"/>
                <w:szCs w:val="24"/>
              </w:rPr>
              <w:t>KKR</w:t>
            </w:r>
            <w:r>
              <w:rPr>
                <w:rFonts w:hint="eastAsia" w:ascii="宋体" w:hAnsi="宋体" w:eastAsia="宋体" w:cs="宋体"/>
                <w:kern w:val="0"/>
                <w:sz w:val="24"/>
                <w:szCs w:val="24"/>
              </w:rPr>
              <w:t>”</w:t>
            </w:r>
            <w:r>
              <w:rPr>
                <w:rFonts w:hint="default" w:ascii="Times New Roman Regular" w:hAnsi="Times New Roman Regular" w:cs="Times New Roman Regular"/>
                <w:kern w:val="0"/>
                <w:sz w:val="24"/>
                <w:szCs w:val="24"/>
              </w:rPr>
              <w:t>）</w:t>
            </w:r>
            <w:r>
              <w:rPr>
                <w:rFonts w:hint="eastAsia" w:ascii="Times New Roman" w:hAnsi="Times New Roman"/>
                <w:sz w:val="24"/>
                <w:szCs w:val="24"/>
                <w:lang w:eastAsia="zh-Hans"/>
              </w:rPr>
              <w:t>组成的联合体公司签署协议，KKR、全球基础设施核心C2</w:t>
            </w:r>
            <w:r>
              <w:rPr>
                <w:rFonts w:hint="eastAsia" w:ascii="Times New Roman" w:hAnsi="Times New Roman"/>
                <w:sz w:val="24"/>
                <w:szCs w:val="24"/>
                <w:lang w:val="en-US" w:eastAsia="zh-Hans"/>
              </w:rPr>
              <w:t>将</w:t>
            </w:r>
            <w:r>
              <w:rPr>
                <w:rFonts w:hint="eastAsia" w:ascii="Times New Roman" w:hAnsi="Times New Roman"/>
                <w:sz w:val="24"/>
                <w:szCs w:val="24"/>
                <w:lang w:eastAsia="zh-Hans"/>
              </w:rPr>
              <w:t>间接收购</w:t>
            </w:r>
            <w:r>
              <w:rPr>
                <w:rFonts w:hint="eastAsia" w:ascii="Times New Roman Regular" w:hAnsi="Times New Roman Regular" w:cs="Times New Roman Regular"/>
                <w:kern w:val="0"/>
                <w:sz w:val="24"/>
                <w:szCs w:val="24"/>
                <w:lang w:eastAsia="zh-Hans"/>
              </w:rPr>
              <w:t>万塔奇铁塔公司（“</w:t>
            </w:r>
            <w:r>
              <w:rPr>
                <w:rFonts w:hint="eastAsia" w:ascii="Times New Roman" w:hAnsi="Times New Roman"/>
                <w:b/>
                <w:bCs/>
                <w:sz w:val="24"/>
                <w:szCs w:val="24"/>
                <w:lang w:eastAsia="zh-Hans"/>
              </w:rPr>
              <w:t>目标公司</w:t>
            </w:r>
            <w:r>
              <w:rPr>
                <w:rFonts w:hint="eastAsia" w:ascii="Times New Roman" w:hAnsi="Times New Roman"/>
                <w:sz w:val="24"/>
                <w:szCs w:val="24"/>
                <w:lang w:eastAsia="zh-Hans"/>
              </w:rPr>
              <w:t>”）共计至多5</w:t>
            </w:r>
            <w:r>
              <w:rPr>
                <w:rFonts w:ascii="Times New Roman" w:hAnsi="Times New Roman"/>
                <w:sz w:val="24"/>
                <w:szCs w:val="24"/>
                <w:lang w:eastAsia="zh-Hans"/>
              </w:rPr>
              <w:t>0%</w:t>
            </w:r>
            <w:r>
              <w:rPr>
                <w:rFonts w:hint="eastAsia" w:ascii="Times New Roman" w:hAnsi="Times New Roman"/>
                <w:sz w:val="24"/>
                <w:szCs w:val="24"/>
                <w:lang w:eastAsia="zh-Hans"/>
              </w:rPr>
              <w:t>的股权。目标公司在多个欧盟成员国和英国持有并运营无源移动通信基础设施，并为移动通信网络运营商（MNO）和广播公司等客户提供通信基础设施租赁和相关服务。本次交易前，目标公司由沃达丰</w:t>
            </w:r>
            <w:r>
              <w:rPr>
                <w:rFonts w:hint="eastAsia" w:ascii="Times New Roman" w:hAnsi="Times New Roman"/>
                <w:sz w:val="24"/>
                <w:szCs w:val="24"/>
                <w:lang w:val="en-US" w:eastAsia="zh-Hans"/>
              </w:rPr>
              <w:t>间接</w:t>
            </w:r>
            <w:r>
              <w:rPr>
                <w:rFonts w:hint="eastAsia" w:ascii="Times New Roman" w:hAnsi="Times New Roman"/>
                <w:sz w:val="24"/>
                <w:szCs w:val="24"/>
                <w:lang w:eastAsia="zh-Hans"/>
              </w:rPr>
              <w:t>持有85.8%的股份并单独控制；交易后，目标公司将由KKR提供咨询和管理的投资基金、工具和/或账户、全球基础设施核心C2以及沃达丰共同控制。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75" w:hRule="atLeast"/>
        </w:trPr>
        <w:tc>
          <w:tcPr>
            <w:tcW w:w="1560" w:type="dxa"/>
            <w:vMerge w:val="restart"/>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参与集中的</w:t>
            </w:r>
          </w:p>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经营者简介</w:t>
            </w:r>
          </w:p>
        </w:tc>
        <w:tc>
          <w:tcPr>
            <w:tcW w:w="2030" w:type="dxa"/>
            <w:vAlign w:val="center"/>
          </w:tcPr>
          <w:p>
            <w:pPr>
              <w:snapToGrid w:val="0"/>
              <w:rPr>
                <w:rFonts w:ascii="Times New Roman" w:hAnsi="Times New Roman"/>
                <w:color w:val="333333"/>
                <w:kern w:val="0"/>
                <w:sz w:val="24"/>
                <w:szCs w:val="24"/>
              </w:rPr>
            </w:pPr>
            <w:r>
              <w:rPr>
                <w:rFonts w:hint="eastAsia" w:ascii="Times New Roman" w:hAnsi="Times New Roman"/>
                <w:color w:val="333333"/>
                <w:kern w:val="0"/>
                <w:sz w:val="24"/>
                <w:szCs w:val="24"/>
              </w:rPr>
              <w:t>KKR</w:t>
            </w:r>
          </w:p>
        </w:tc>
        <w:tc>
          <w:tcPr>
            <w:tcW w:w="4632" w:type="dxa"/>
            <w:vAlign w:val="center"/>
          </w:tcPr>
          <w:p>
            <w:pPr>
              <w:snapToGrid w:val="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KKR于2018年7月1日在美国成立，并在纽约证券交易所上市</w:t>
            </w:r>
            <w:r>
              <w:rPr>
                <w:rFonts w:hint="eastAsia" w:ascii="Times New Roman" w:hAnsi="Times New Roman"/>
                <w:color w:val="000000" w:themeColor="text1"/>
                <w:kern w:val="0"/>
                <w:sz w:val="24"/>
                <w:szCs w:val="24"/>
                <w:lang w:eastAsia="zh-Hans"/>
                <w14:textFill>
                  <w14:solidFill>
                    <w14:schemeClr w14:val="tx1"/>
                  </w14:solidFill>
                </w14:textFill>
              </w:rPr>
              <w:t>。</w:t>
            </w:r>
            <w:r>
              <w:rPr>
                <w:rFonts w:hint="eastAsia" w:ascii="Times New Roman" w:hAnsi="Times New Roman"/>
                <w:color w:val="000000" w:themeColor="text1"/>
                <w:kern w:val="0"/>
                <w:sz w:val="24"/>
                <w:szCs w:val="24"/>
                <w14:textFill>
                  <w14:solidFill>
                    <w14:schemeClr w14:val="tx1"/>
                  </w14:solidFill>
                </w14:textFill>
              </w:rPr>
              <w:t>KKR</w:t>
            </w:r>
            <w:r>
              <w:rPr>
                <w:rFonts w:hint="eastAsia" w:ascii="Times New Roman" w:hAnsi="Times New Roman"/>
                <w:color w:val="000000" w:themeColor="text1"/>
                <w:kern w:val="0"/>
                <w:sz w:val="24"/>
                <w:szCs w:val="24"/>
                <w:lang w:val="en-US" w:eastAsia="zh-Hans"/>
                <w14:textFill>
                  <w14:solidFill>
                    <w14:schemeClr w14:val="tx1"/>
                  </w14:solidFill>
                </w14:textFill>
              </w:rPr>
              <w:t>公司与其子公司</w:t>
            </w:r>
            <w:r>
              <w:rPr>
                <w:rFonts w:hint="eastAsia" w:ascii="Times New Roman" w:hAnsi="Times New Roman"/>
                <w:color w:val="000000" w:themeColor="text1"/>
                <w:kern w:val="0"/>
                <w:sz w:val="24"/>
                <w:szCs w:val="24"/>
                <w14:textFill>
                  <w14:solidFill>
                    <w14:schemeClr w14:val="tx1"/>
                  </w14:solidFill>
                </w14:textFill>
              </w:rPr>
              <w:t>是一家全球投资公司，提供另类资产管理、资本市场和保险解决方案。</w:t>
            </w:r>
          </w:p>
          <w:p>
            <w:pPr>
              <w:snapToGrid w:val="0"/>
              <w:rPr>
                <w:rFonts w:ascii="Times New Roman" w:hAnsi="Times New Roman"/>
                <w:color w:val="000000" w:themeColor="text1"/>
                <w:kern w:val="0"/>
                <w:sz w:val="24"/>
                <w:szCs w:val="24"/>
                <w:shd w:val="pct10" w:color="auto" w:fill="FFFFFF"/>
                <w14:textFill>
                  <w14:solidFill>
                    <w14:schemeClr w14:val="tx1"/>
                  </w14:solidFill>
                </w14:textFill>
              </w:rPr>
            </w:pPr>
          </w:p>
          <w:p>
            <w:pPr>
              <w:snapToGrid w:val="0"/>
              <w:rPr>
                <w:rFonts w:ascii="Times New Roman" w:hAnsi="Times New Roman"/>
                <w:color w:val="333333"/>
                <w:kern w:val="0"/>
                <w:sz w:val="24"/>
                <w:szCs w:val="24"/>
              </w:rPr>
            </w:pPr>
            <w:r>
              <w:rPr>
                <w:rFonts w:hint="eastAsia" w:ascii="Times New Roman" w:hAnsi="Times New Roman"/>
                <w:color w:val="000000" w:themeColor="text1"/>
                <w:kern w:val="0"/>
                <w:sz w:val="24"/>
                <w:szCs w:val="24"/>
                <w14:textFill>
                  <w14:solidFill>
                    <w14:schemeClr w14:val="tx1"/>
                  </w14:solidFill>
                </w14:textFill>
              </w:rPr>
              <w:t>KKR管理有限合伙是一家</w:t>
            </w:r>
            <w:r>
              <w:rPr>
                <w:rFonts w:hint="eastAsia" w:ascii="Times New Roman" w:hAnsi="Times New Roman"/>
                <w:color w:val="000000" w:themeColor="text1"/>
                <w:kern w:val="0"/>
                <w:sz w:val="24"/>
                <w:szCs w:val="24"/>
                <w:lang w:val="en-US" w:eastAsia="zh-Hans"/>
                <w14:textFill>
                  <w14:solidFill>
                    <w14:schemeClr w14:val="tx1"/>
                  </w14:solidFill>
                </w14:textFill>
              </w:rPr>
              <w:t>控股公司</w:t>
            </w:r>
            <w:r>
              <w:rPr>
                <w:rFonts w:hint="eastAsia" w:ascii="Times New Roman" w:hAnsi="Times New Roman"/>
                <w:color w:val="000000" w:themeColor="text1"/>
                <w:kern w:val="0"/>
                <w:sz w:val="24"/>
                <w:szCs w:val="24"/>
                <w14:textFill>
                  <w14:solidFill>
                    <w14:schemeClr w14:val="tx1"/>
                  </w14:solidFill>
                </w14:textFill>
              </w:rPr>
              <w:t>，最终控制KKR。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13" w:hRule="exac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2030" w:type="dxa"/>
            <w:vAlign w:val="center"/>
          </w:tcPr>
          <w:p>
            <w:pPr>
              <w:snapToGrid w:val="0"/>
              <w:rPr>
                <w:rFonts w:ascii="Times New Roman" w:hAnsi="Times New Roman"/>
                <w:color w:val="333333"/>
                <w:kern w:val="0"/>
                <w:sz w:val="24"/>
                <w:szCs w:val="24"/>
              </w:rPr>
            </w:pPr>
            <w:r>
              <w:rPr>
                <w:rFonts w:hint="eastAsia" w:ascii="Times New Roman" w:hAnsi="Times New Roman"/>
                <w:color w:val="333333"/>
                <w:kern w:val="0"/>
                <w:sz w:val="24"/>
                <w:szCs w:val="24"/>
              </w:rPr>
              <w:t>全球基础设施核心C2</w:t>
            </w:r>
          </w:p>
        </w:tc>
        <w:tc>
          <w:tcPr>
            <w:tcW w:w="4632" w:type="dxa"/>
            <w:vAlign w:val="center"/>
          </w:tcPr>
          <w:p>
            <w:pPr>
              <w:widowControl/>
              <w:snapToGrid w:val="0"/>
              <w:rPr>
                <w:rFonts w:ascii="Times New Roman" w:hAnsi="Times New Roman"/>
                <w:color w:val="000000" w:themeColor="text1"/>
                <w:kern w:val="0"/>
                <w:sz w:val="24"/>
                <w:szCs w:val="24"/>
                <w:lang w:eastAsia="zh-Hans"/>
                <w14:textFill>
                  <w14:solidFill>
                    <w14:schemeClr w14:val="tx1"/>
                  </w14:solidFill>
                </w14:textFill>
              </w:rPr>
            </w:pPr>
            <w:r>
              <w:rPr>
                <w:rFonts w:hint="eastAsia" w:ascii="Times New Roman Regular" w:hAnsi="Times New Roman Regular" w:cs="Times New Roman Regular"/>
                <w:sz w:val="24"/>
                <w:szCs w:val="24"/>
                <w:lang w:eastAsia="zh-Hans"/>
              </w:rPr>
              <w:t>全球基础设施核心C2于</w:t>
            </w:r>
            <w:r>
              <w:rPr>
                <w:rFonts w:hint="eastAsia" w:ascii="Times New Roman" w:hAnsi="Times New Roman"/>
                <w:color w:val="000000" w:themeColor="text1"/>
                <w:kern w:val="0"/>
                <w:sz w:val="24"/>
                <w:szCs w:val="24"/>
                <w14:textFill>
                  <w14:solidFill>
                    <w14:schemeClr w14:val="tx1"/>
                  </w14:solidFill>
                </w14:textFill>
              </w:rPr>
              <w:t>20</w:t>
            </w:r>
            <w:r>
              <w:rPr>
                <w:rFonts w:ascii="Times New Roman" w:hAnsi="Times New Roman"/>
                <w:color w:val="000000" w:themeColor="text1"/>
                <w:kern w:val="0"/>
                <w:sz w:val="24"/>
                <w:szCs w:val="24"/>
                <w14:textFill>
                  <w14:solidFill>
                    <w14:schemeClr w14:val="tx1"/>
                  </w14:solidFill>
                </w14:textFill>
              </w:rPr>
              <w:t>22</w:t>
            </w:r>
            <w:r>
              <w:rPr>
                <w:rFonts w:hint="eastAsia" w:ascii="Times New Roman" w:hAnsi="Times New Roman"/>
                <w:color w:val="000000" w:themeColor="text1"/>
                <w:kern w:val="0"/>
                <w:sz w:val="24"/>
                <w:szCs w:val="24"/>
                <w14:textFill>
                  <w14:solidFill>
                    <w14:schemeClr w14:val="tx1"/>
                  </w14:solidFill>
                </w14:textFill>
              </w:rPr>
              <w:t>年7月1日</w:t>
            </w:r>
            <w:r>
              <w:rPr>
                <w:rFonts w:hint="eastAsia" w:ascii="Times New Roman" w:hAnsi="Times New Roman"/>
                <w:color w:val="000000" w:themeColor="text1"/>
                <w:kern w:val="0"/>
                <w:sz w:val="24"/>
                <w:szCs w:val="24"/>
                <w:lang w:eastAsia="zh-Hans"/>
                <w14:textFill>
                  <w14:solidFill>
                    <w14:schemeClr w14:val="tx1"/>
                  </w14:solidFill>
                </w14:textFill>
              </w:rPr>
              <w:t>在卢森堡成立，隶属于</w:t>
            </w:r>
            <w:r>
              <w:rPr>
                <w:rFonts w:ascii="Times New Roman" w:hAnsi="Times New Roman"/>
                <w:color w:val="000000" w:themeColor="text1"/>
                <w:kern w:val="0"/>
                <w:sz w:val="24"/>
                <w:szCs w:val="24"/>
                <w:lang w:eastAsia="zh-Hans"/>
                <w14:textFill>
                  <w14:solidFill>
                    <w14:schemeClr w14:val="tx1"/>
                  </w14:solidFill>
                </w14:textFill>
              </w:rPr>
              <w:t>GIP</w:t>
            </w:r>
            <w:r>
              <w:rPr>
                <w:rFonts w:hint="eastAsia" w:ascii="Times New Roman" w:hAnsi="Times New Roman"/>
                <w:color w:val="000000" w:themeColor="text1"/>
                <w:kern w:val="0"/>
                <w:sz w:val="24"/>
                <w:szCs w:val="24"/>
                <w:lang w:eastAsia="zh-Hans"/>
                <w14:textFill>
                  <w14:solidFill>
                    <w14:schemeClr w14:val="tx1"/>
                  </w14:solidFill>
                </w14:textFill>
              </w:rPr>
              <w:t>集团。GIP集团总部位于纽约，是一家独立基础设施基金管理公司。</w:t>
            </w:r>
          </w:p>
          <w:p>
            <w:pPr>
              <w:widowControl/>
              <w:snapToGrid w:val="0"/>
              <w:rPr>
                <w:rFonts w:ascii="Times New Roman" w:hAnsi="Times New Roman"/>
                <w:color w:val="000000" w:themeColor="text1"/>
                <w:kern w:val="0"/>
                <w:sz w:val="24"/>
                <w:szCs w:val="24"/>
                <w:lang w:eastAsia="zh-Hans"/>
                <w14:textFill>
                  <w14:solidFill>
                    <w14:schemeClr w14:val="tx1"/>
                  </w14:solidFill>
                </w14:textFill>
              </w:rPr>
            </w:pPr>
          </w:p>
          <w:p>
            <w:pPr>
              <w:snapToGrid w:val="0"/>
              <w:rPr>
                <w:rFonts w:ascii="Times New Roman" w:hAnsi="Times New Roman"/>
                <w:color w:val="333333"/>
                <w:kern w:val="0"/>
                <w:sz w:val="24"/>
                <w:szCs w:val="24"/>
              </w:rPr>
            </w:pPr>
            <w:r>
              <w:rPr>
                <w:rFonts w:hint="eastAsia" w:ascii="Times New Roman Regular" w:hAnsi="Times New Roman Regular" w:cs="Times New Roman Regular"/>
                <w:sz w:val="24"/>
                <w:szCs w:val="24"/>
                <w:lang w:eastAsia="zh-Hans"/>
              </w:rPr>
              <w:t>全球基础设施管理参与有限责任公司是</w:t>
            </w:r>
            <w:r>
              <w:rPr>
                <w:rFonts w:hint="eastAsia" w:ascii="Times New Roman" w:hAnsi="Times New Roman"/>
                <w:color w:val="333333"/>
                <w:kern w:val="0"/>
                <w:sz w:val="24"/>
                <w:szCs w:val="24"/>
              </w:rPr>
              <w:t>全球基础设施核心C2</w:t>
            </w:r>
            <w:r>
              <w:rPr>
                <w:rFonts w:hint="eastAsia" w:ascii="Times New Roman" w:hAnsi="Times New Roman"/>
                <w:color w:val="333333"/>
                <w:kern w:val="0"/>
                <w:sz w:val="24"/>
                <w:szCs w:val="24"/>
                <w:lang w:eastAsia="zh-Hans"/>
              </w:rPr>
              <w:t>的最终控制人，</w:t>
            </w:r>
            <w:r>
              <w:rPr>
                <w:rFonts w:hint="eastAsia" w:ascii="Times New Roman Regular" w:hAnsi="Times New Roman Regular" w:cs="Times New Roman Regular"/>
                <w:sz w:val="24"/>
                <w:szCs w:val="24"/>
                <w:lang w:eastAsia="zh-Hans"/>
              </w:rPr>
              <w:t>也隶属于</w:t>
            </w:r>
            <w:r>
              <w:rPr>
                <w:rFonts w:ascii="Times New Roman Regular" w:hAnsi="Times New Roman Regular" w:cs="Times New Roman Regular"/>
                <w:sz w:val="24"/>
                <w:szCs w:val="24"/>
                <w:lang w:eastAsia="zh-Hans"/>
              </w:rPr>
              <w:t>GIP</w:t>
            </w:r>
            <w:r>
              <w:rPr>
                <w:rFonts w:hint="eastAsia" w:ascii="Times New Roman Regular" w:hAnsi="Times New Roman Regular" w:cs="Times New Roman Regular"/>
                <w:sz w:val="24"/>
                <w:szCs w:val="24"/>
                <w:lang w:eastAsia="zh-Hans"/>
              </w:rPr>
              <w:t>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46" w:hRule="exac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2030" w:type="dxa"/>
            <w:vAlign w:val="center"/>
          </w:tcPr>
          <w:p>
            <w:pPr>
              <w:snapToGrid w:val="0"/>
              <w:rPr>
                <w:rFonts w:ascii="Times New Roman Regular" w:hAnsi="Times New Roman Regular" w:cs="Times New Roman Regular"/>
                <w:kern w:val="0"/>
                <w:sz w:val="24"/>
                <w:szCs w:val="24"/>
                <w:lang w:eastAsia="zh-Hans"/>
              </w:rPr>
            </w:pPr>
            <w:r>
              <w:rPr>
                <w:rFonts w:hint="eastAsia" w:ascii="Times New Roman" w:hAnsi="Times New Roman"/>
                <w:sz w:val="24"/>
                <w:szCs w:val="24"/>
                <w:lang w:eastAsia="zh-Hans"/>
              </w:rPr>
              <w:t>沃达丰</w:t>
            </w:r>
          </w:p>
        </w:tc>
        <w:tc>
          <w:tcPr>
            <w:tcW w:w="4632" w:type="dxa"/>
            <w:vAlign w:val="center"/>
          </w:tcPr>
          <w:p>
            <w:pPr>
              <w:snapToGrid w:val="0"/>
              <w:rPr>
                <w:rFonts w:hint="eastAsia" w:ascii="Times New Roman Regular" w:hAnsi="Times New Roman Regular" w:cs="Times New Roman Regular"/>
                <w:sz w:val="24"/>
                <w:szCs w:val="24"/>
              </w:rPr>
            </w:pPr>
            <w:r>
              <w:rPr>
                <w:rFonts w:hint="eastAsia" w:ascii="Times New Roman Regular" w:hAnsi="Times New Roman Regular" w:cs="Times New Roman Regular"/>
                <w:sz w:val="24"/>
                <w:szCs w:val="24"/>
                <w:lang w:eastAsia="zh-Hans"/>
              </w:rPr>
              <w:t>沃达丰于1984年7月17日成立于英国，为伦敦证券交易所上市公司，主要业务为在欧洲和非洲</w:t>
            </w:r>
            <w:r>
              <w:rPr>
                <w:rFonts w:hint="eastAsia" w:ascii="Times New Roman Regular" w:hAnsi="Times New Roman Regular" w:cs="Times New Roman Regular"/>
                <w:sz w:val="24"/>
                <w:szCs w:val="24"/>
              </w:rPr>
              <w:t>提供电信运营相关的通信和技术服务</w:t>
            </w:r>
            <w:r>
              <w:rPr>
                <w:rFonts w:ascii="Times New Roman Regular" w:hAnsi="Times New Roman Regular" w:cs="Times New Roman Regular"/>
                <w:sz w:val="24"/>
                <w:szCs w:val="24"/>
              </w:rPr>
              <w:t>。</w:t>
            </w:r>
          </w:p>
          <w:p>
            <w:pPr>
              <w:snapToGrid w:val="0"/>
              <w:rPr>
                <w:rFonts w:hint="eastAsia" w:ascii="Times New Roman Regular" w:hAnsi="Times New Roman Regular" w:cs="Times New Roman Regular"/>
                <w:sz w:val="24"/>
                <w:szCs w:val="24"/>
              </w:rPr>
            </w:pPr>
          </w:p>
          <w:p>
            <w:pPr>
              <w:snapToGrid w:val="0"/>
              <w:rPr>
                <w:rFonts w:ascii="Times New Roman Regular" w:hAnsi="Times New Roman Regular" w:cs="Times New Roman Regular"/>
                <w:sz w:val="24"/>
                <w:szCs w:val="24"/>
                <w:lang w:eastAsia="zh-Hans"/>
              </w:rPr>
            </w:pPr>
            <w:r>
              <w:rPr>
                <w:rFonts w:ascii="Times New Roman Regular" w:hAnsi="Times New Roman Regular" w:cs="Times New Roman Regular"/>
                <w:sz w:val="24"/>
                <w:szCs w:val="24"/>
                <w:lang w:eastAsia="zh-Hans"/>
              </w:rPr>
              <w:t>沃达丰无最终控制人。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7" w:hRule="atLeast"/>
        </w:trPr>
        <w:tc>
          <w:tcPr>
            <w:tcW w:w="1560" w:type="dxa"/>
            <w:vMerge w:val="restart"/>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简易案件理由（可以单选，也可以多选）</w:t>
            </w: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F0A8"/>
            </w:r>
            <w:r>
              <w:rPr>
                <w:rFonts w:ascii="Times New Roman" w:hAnsi="Times New Roman"/>
                <w:sz w:val="24"/>
                <w:szCs w:val="24"/>
              </w:rPr>
              <w:t xml:space="preserve"> </w:t>
            </w:r>
            <w:r>
              <w:rPr>
                <w:rFonts w:ascii="Times New Roman" w:hAnsi="Times New Roman"/>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6"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F0A8"/>
            </w:r>
            <w:r>
              <w:rPr>
                <w:rFonts w:ascii="Times New Roman" w:hAnsi="Times New Roman"/>
                <w:sz w:val="24"/>
                <w:szCs w:val="24"/>
              </w:rPr>
              <w:t xml:space="preserve"> </w:t>
            </w:r>
            <w:r>
              <w:rPr>
                <w:rFonts w:ascii="Times New Roman" w:hAnsi="Times New Roman"/>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3"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eastAsia="黑体"/>
                <w:color w:val="000000"/>
                <w:sz w:val="24"/>
                <w:szCs w:val="24"/>
              </w:rPr>
              <w:sym w:font="Wingdings" w:char="00A8"/>
            </w:r>
            <w:r>
              <w:rPr>
                <w:rFonts w:ascii="Times New Roman" w:hAnsi="Times New Roman"/>
                <w:sz w:val="24"/>
                <w:szCs w:val="24"/>
                <w:lang w:val="en-GB"/>
              </w:rPr>
              <w:t xml:space="preserve"> </w:t>
            </w:r>
            <w:r>
              <w:rPr>
                <w:rFonts w:ascii="Times New Roman" w:hAnsi="Times New Roman"/>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4"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F0A8"/>
            </w:r>
            <w:r>
              <w:rPr>
                <w:rFonts w:ascii="Times New Roman" w:hAnsi="Times New Roman"/>
                <w:sz w:val="24"/>
                <w:szCs w:val="24"/>
                <w:lang w:val="en-GB"/>
              </w:rPr>
              <w:t xml:space="preserve"> </w:t>
            </w:r>
            <w:r>
              <w:rPr>
                <w:rFonts w:ascii="Times New Roman" w:hAnsi="Times New Roman"/>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3"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00FE"/>
            </w:r>
            <w:r>
              <w:rPr>
                <w:rFonts w:ascii="Times New Roman" w:hAnsi="Times New Roman"/>
                <w:sz w:val="24"/>
                <w:szCs w:val="24"/>
                <w:lang w:val="en-GB"/>
              </w:rPr>
              <w:t xml:space="preserve"> </w:t>
            </w:r>
            <w:r>
              <w:rPr>
                <w:rFonts w:ascii="Times New Roman" w:hAnsi="Times New Roman"/>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1" w:hRule="atLeast"/>
        </w:trPr>
        <w:tc>
          <w:tcPr>
            <w:tcW w:w="1560" w:type="dxa"/>
            <w:vMerge w:val="continue"/>
            <w:shd w:val="clear" w:color="auto" w:fill="D9D9D9"/>
            <w:vAlign w:val="center"/>
          </w:tcPr>
          <w:p>
            <w:pPr>
              <w:snapToGrid w:val="0"/>
              <w:jc w:val="center"/>
              <w:rPr>
                <w:rFonts w:ascii="Times New Roman" w:hAnsi="Times New Roman"/>
                <w:b/>
                <w:color w:val="333333"/>
                <w:kern w:val="0"/>
                <w:sz w:val="24"/>
                <w:szCs w:val="24"/>
              </w:rPr>
            </w:pPr>
          </w:p>
        </w:tc>
        <w:tc>
          <w:tcPr>
            <w:tcW w:w="6662" w:type="dxa"/>
            <w:gridSpan w:val="2"/>
            <w:vAlign w:val="center"/>
          </w:tcPr>
          <w:p>
            <w:pPr>
              <w:snapToGrid w:val="0"/>
              <w:rPr>
                <w:rFonts w:ascii="Times New Roman" w:hAnsi="Times New Roman"/>
                <w:color w:val="333333"/>
                <w:kern w:val="0"/>
                <w:sz w:val="24"/>
                <w:szCs w:val="24"/>
              </w:rPr>
            </w:pPr>
            <w:r>
              <w:rPr>
                <w:rFonts w:ascii="Times New Roman" w:hAnsi="Times New Roman"/>
                <w:sz w:val="24"/>
                <w:szCs w:val="24"/>
                <w:lang w:val="en-GB"/>
              </w:rPr>
              <w:sym w:font="Wingdings" w:char="F0A8"/>
            </w:r>
            <w:r>
              <w:rPr>
                <w:rFonts w:ascii="Times New Roman" w:hAnsi="Times New Roman"/>
                <w:sz w:val="24"/>
                <w:szCs w:val="24"/>
                <w:lang w:val="en-GB"/>
              </w:rPr>
              <w:t xml:space="preserve"> </w:t>
            </w:r>
            <w:r>
              <w:rPr>
                <w:rFonts w:ascii="Times New Roman" w:hAnsi="Times New Roman"/>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 w:hRule="atLeast"/>
        </w:trPr>
        <w:tc>
          <w:tcPr>
            <w:tcW w:w="1560" w:type="dxa"/>
            <w:shd w:val="clear" w:color="auto" w:fill="D9D9D9"/>
            <w:vAlign w:val="center"/>
          </w:tcPr>
          <w:p>
            <w:pPr>
              <w:snapToGrid w:val="0"/>
              <w:jc w:val="center"/>
              <w:rPr>
                <w:rFonts w:ascii="Times New Roman" w:hAnsi="Times New Roman"/>
                <w:b/>
                <w:color w:val="333333"/>
                <w:kern w:val="0"/>
                <w:sz w:val="24"/>
                <w:szCs w:val="24"/>
              </w:rPr>
            </w:pPr>
            <w:r>
              <w:rPr>
                <w:rFonts w:ascii="Times New Roman" w:hAnsi="Times New Roman"/>
                <w:b/>
                <w:color w:val="333333"/>
                <w:kern w:val="0"/>
                <w:sz w:val="24"/>
                <w:szCs w:val="24"/>
              </w:rPr>
              <w:t>备注</w:t>
            </w:r>
          </w:p>
        </w:tc>
        <w:tc>
          <w:tcPr>
            <w:tcW w:w="6662" w:type="dxa"/>
            <w:gridSpan w:val="2"/>
            <w:vAlign w:val="center"/>
          </w:tcPr>
          <w:p>
            <w:pPr>
              <w:pStyle w:val="2"/>
              <w:snapToGrid w:val="0"/>
              <w:spacing w:after="0"/>
              <w:ind w:left="0"/>
              <w:jc w:val="left"/>
              <w:rPr>
                <w:lang w:eastAsia="zh-Hans"/>
              </w:rPr>
            </w:pPr>
            <w:r>
              <w:rPr>
                <w:rFonts w:hint="eastAsia" w:ascii="Times New Roman" w:hAnsi="Times New Roman"/>
                <w:color w:val="333333"/>
                <w:kern w:val="0"/>
                <w:sz w:val="24"/>
                <w:szCs w:val="24"/>
                <w:lang w:eastAsia="zh-Hans"/>
              </w:rPr>
              <w:t>不适用</w:t>
            </w:r>
          </w:p>
        </w:tc>
      </w:tr>
    </w:tbl>
    <w:p>
      <w:pPr>
        <w:spacing w:line="360" w:lineRule="auto"/>
        <w:rPr>
          <w:rFonts w:ascii="Times New Roman" w:hAnsi="Times New Roman"/>
          <w:sz w:val="24"/>
          <w:szCs w:val="24"/>
        </w:rPr>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Times New Roman Bold">
    <w:panose1 w:val="02020603050405020304"/>
    <w:charset w:val="00"/>
    <w:family w:val="roman"/>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冬青黑体简体中文">
    <w:panose1 w:val="020B03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01932355"/>
    </w:sdtPr>
    <w:sdtEndPr>
      <w:rPr>
        <w:rStyle w:val="10"/>
      </w:rPr>
    </w:sdtEndPr>
    <w:sdtContent>
      <w:p>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w:t>
        </w:r>
        <w:r>
          <w:rPr>
            <w:rStyle w:val="10"/>
          </w:rPr>
          <w:fldChar w:fldCharType="end"/>
        </w:r>
      </w:p>
    </w:sdtContent>
  </w:sdt>
  <w:p>
    <w:pPr>
      <w:pStyle w:val="4"/>
      <w:rPr>
        <w:rFonts w:ascii="Times New Roman" w:hAnsi="Times New Roman"/>
      </w:rPr>
    </w:pP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036383314"/>
    </w:sdtPr>
    <w:sdtEndPr>
      <w:rPr>
        <w:rStyle w:val="10"/>
      </w:rPr>
    </w:sdtEndPr>
    <w:sdtContent>
      <w:p>
        <w:pPr>
          <w:pStyle w:val="4"/>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1"/>
  <w:bordersDoNotSurroundFooter w:val="1"/>
  <w:hideSpellingErrors/>
  <w:hideGrammaticalErrors/>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E0MrU0NTKyMDQwMLBQ0lEKTi0uzszPAykwqQUAsfAPRywAAAA="/>
  </w:docVars>
  <w:rsids>
    <w:rsidRoot w:val="00CB00DF"/>
    <w:rsid w:val="000008A2"/>
    <w:rsid w:val="00007E12"/>
    <w:rsid w:val="00015F7E"/>
    <w:rsid w:val="00023448"/>
    <w:rsid w:val="00033726"/>
    <w:rsid w:val="00037065"/>
    <w:rsid w:val="00037393"/>
    <w:rsid w:val="000621C8"/>
    <w:rsid w:val="000805A7"/>
    <w:rsid w:val="0008285B"/>
    <w:rsid w:val="000A1753"/>
    <w:rsid w:val="000B1EFE"/>
    <w:rsid w:val="000B3AF7"/>
    <w:rsid w:val="000C33EC"/>
    <w:rsid w:val="000C4477"/>
    <w:rsid w:val="000D7EBA"/>
    <w:rsid w:val="0010363A"/>
    <w:rsid w:val="001074DB"/>
    <w:rsid w:val="001075C2"/>
    <w:rsid w:val="00113BAE"/>
    <w:rsid w:val="001164CD"/>
    <w:rsid w:val="001219EB"/>
    <w:rsid w:val="001243D9"/>
    <w:rsid w:val="00155717"/>
    <w:rsid w:val="00160E61"/>
    <w:rsid w:val="00174FB0"/>
    <w:rsid w:val="0017686F"/>
    <w:rsid w:val="001837A3"/>
    <w:rsid w:val="00187D5C"/>
    <w:rsid w:val="00192989"/>
    <w:rsid w:val="00193BC9"/>
    <w:rsid w:val="001D6662"/>
    <w:rsid w:val="001D7BA1"/>
    <w:rsid w:val="001F404F"/>
    <w:rsid w:val="0021315C"/>
    <w:rsid w:val="00221DC0"/>
    <w:rsid w:val="00244912"/>
    <w:rsid w:val="002553E5"/>
    <w:rsid w:val="00262C69"/>
    <w:rsid w:val="002665EA"/>
    <w:rsid w:val="00270CFB"/>
    <w:rsid w:val="002756C0"/>
    <w:rsid w:val="00282AB8"/>
    <w:rsid w:val="002840F8"/>
    <w:rsid w:val="0028527F"/>
    <w:rsid w:val="002B19C8"/>
    <w:rsid w:val="00306520"/>
    <w:rsid w:val="00310D7A"/>
    <w:rsid w:val="00327C1B"/>
    <w:rsid w:val="00330E53"/>
    <w:rsid w:val="003546D0"/>
    <w:rsid w:val="00364988"/>
    <w:rsid w:val="00374778"/>
    <w:rsid w:val="00376EF3"/>
    <w:rsid w:val="003A4719"/>
    <w:rsid w:val="003B759C"/>
    <w:rsid w:val="003C0AEB"/>
    <w:rsid w:val="003C575D"/>
    <w:rsid w:val="003D13C3"/>
    <w:rsid w:val="003D33C2"/>
    <w:rsid w:val="003D7240"/>
    <w:rsid w:val="003E7483"/>
    <w:rsid w:val="003F0F68"/>
    <w:rsid w:val="00403238"/>
    <w:rsid w:val="00420EBB"/>
    <w:rsid w:val="00431B69"/>
    <w:rsid w:val="004440BF"/>
    <w:rsid w:val="00460182"/>
    <w:rsid w:val="00460715"/>
    <w:rsid w:val="004A6903"/>
    <w:rsid w:val="004A74EA"/>
    <w:rsid w:val="004B7055"/>
    <w:rsid w:val="004C2A4E"/>
    <w:rsid w:val="004F6DFE"/>
    <w:rsid w:val="004F7688"/>
    <w:rsid w:val="00501C72"/>
    <w:rsid w:val="00507846"/>
    <w:rsid w:val="00517D6E"/>
    <w:rsid w:val="00527F83"/>
    <w:rsid w:val="005330AE"/>
    <w:rsid w:val="00536FFB"/>
    <w:rsid w:val="00546F6E"/>
    <w:rsid w:val="0057155A"/>
    <w:rsid w:val="00574E95"/>
    <w:rsid w:val="00577FEE"/>
    <w:rsid w:val="005A28D4"/>
    <w:rsid w:val="005C19BE"/>
    <w:rsid w:val="005C480C"/>
    <w:rsid w:val="005E03E0"/>
    <w:rsid w:val="005F3D2C"/>
    <w:rsid w:val="00630E72"/>
    <w:rsid w:val="006344D5"/>
    <w:rsid w:val="006467D8"/>
    <w:rsid w:val="00651F9C"/>
    <w:rsid w:val="00652DFD"/>
    <w:rsid w:val="006613CF"/>
    <w:rsid w:val="00661A6A"/>
    <w:rsid w:val="00664EE8"/>
    <w:rsid w:val="006A531B"/>
    <w:rsid w:val="006D0C1D"/>
    <w:rsid w:val="006E0315"/>
    <w:rsid w:val="006E090A"/>
    <w:rsid w:val="006E7350"/>
    <w:rsid w:val="006F6D0D"/>
    <w:rsid w:val="006F7693"/>
    <w:rsid w:val="00710140"/>
    <w:rsid w:val="007368D3"/>
    <w:rsid w:val="00747C43"/>
    <w:rsid w:val="00750E69"/>
    <w:rsid w:val="007634A9"/>
    <w:rsid w:val="00770406"/>
    <w:rsid w:val="00781530"/>
    <w:rsid w:val="00781FBE"/>
    <w:rsid w:val="00791F3B"/>
    <w:rsid w:val="00792DE6"/>
    <w:rsid w:val="0079392B"/>
    <w:rsid w:val="00795B68"/>
    <w:rsid w:val="007B0601"/>
    <w:rsid w:val="007B1376"/>
    <w:rsid w:val="007D4B97"/>
    <w:rsid w:val="007E3AA2"/>
    <w:rsid w:val="007F2275"/>
    <w:rsid w:val="00826D44"/>
    <w:rsid w:val="00863DD9"/>
    <w:rsid w:val="008757A0"/>
    <w:rsid w:val="00897E60"/>
    <w:rsid w:val="008A5D31"/>
    <w:rsid w:val="008C1F60"/>
    <w:rsid w:val="008D6F90"/>
    <w:rsid w:val="008E1316"/>
    <w:rsid w:val="0090484C"/>
    <w:rsid w:val="00913CC5"/>
    <w:rsid w:val="00914BB4"/>
    <w:rsid w:val="00914C14"/>
    <w:rsid w:val="00915F0F"/>
    <w:rsid w:val="00925DD4"/>
    <w:rsid w:val="00940FA2"/>
    <w:rsid w:val="009532DF"/>
    <w:rsid w:val="00970077"/>
    <w:rsid w:val="009716B1"/>
    <w:rsid w:val="0097361C"/>
    <w:rsid w:val="009775EB"/>
    <w:rsid w:val="0098549D"/>
    <w:rsid w:val="00994C75"/>
    <w:rsid w:val="00997019"/>
    <w:rsid w:val="009A5029"/>
    <w:rsid w:val="009B2582"/>
    <w:rsid w:val="009D2953"/>
    <w:rsid w:val="009D38D5"/>
    <w:rsid w:val="00A01E75"/>
    <w:rsid w:val="00A209CF"/>
    <w:rsid w:val="00A232E7"/>
    <w:rsid w:val="00A3629B"/>
    <w:rsid w:val="00A45A34"/>
    <w:rsid w:val="00A53F26"/>
    <w:rsid w:val="00A60D74"/>
    <w:rsid w:val="00A62FD3"/>
    <w:rsid w:val="00A738A5"/>
    <w:rsid w:val="00A859F5"/>
    <w:rsid w:val="00AA06A4"/>
    <w:rsid w:val="00AA0CC5"/>
    <w:rsid w:val="00AA4B98"/>
    <w:rsid w:val="00AD1134"/>
    <w:rsid w:val="00AD4346"/>
    <w:rsid w:val="00AE66F4"/>
    <w:rsid w:val="00AE7500"/>
    <w:rsid w:val="00AF347F"/>
    <w:rsid w:val="00AF73B9"/>
    <w:rsid w:val="00B05F2C"/>
    <w:rsid w:val="00B0718F"/>
    <w:rsid w:val="00B16AB0"/>
    <w:rsid w:val="00B16AFE"/>
    <w:rsid w:val="00B318AA"/>
    <w:rsid w:val="00B33424"/>
    <w:rsid w:val="00B34FA8"/>
    <w:rsid w:val="00B40C02"/>
    <w:rsid w:val="00B42D28"/>
    <w:rsid w:val="00B65DD5"/>
    <w:rsid w:val="00B80621"/>
    <w:rsid w:val="00BA4781"/>
    <w:rsid w:val="00BA4F4C"/>
    <w:rsid w:val="00BB4B0E"/>
    <w:rsid w:val="00BD10B6"/>
    <w:rsid w:val="00BF0375"/>
    <w:rsid w:val="00BF04EE"/>
    <w:rsid w:val="00C02B30"/>
    <w:rsid w:val="00C07076"/>
    <w:rsid w:val="00C22854"/>
    <w:rsid w:val="00C34349"/>
    <w:rsid w:val="00C37318"/>
    <w:rsid w:val="00C6435F"/>
    <w:rsid w:val="00C7145B"/>
    <w:rsid w:val="00C84AC2"/>
    <w:rsid w:val="00C8621B"/>
    <w:rsid w:val="00C930E6"/>
    <w:rsid w:val="00CA2702"/>
    <w:rsid w:val="00CB00DF"/>
    <w:rsid w:val="00CB417F"/>
    <w:rsid w:val="00CB562C"/>
    <w:rsid w:val="00CD267A"/>
    <w:rsid w:val="00D12E41"/>
    <w:rsid w:val="00D24615"/>
    <w:rsid w:val="00D36758"/>
    <w:rsid w:val="00D40A98"/>
    <w:rsid w:val="00D73C72"/>
    <w:rsid w:val="00D81806"/>
    <w:rsid w:val="00D90D2F"/>
    <w:rsid w:val="00DA04B8"/>
    <w:rsid w:val="00DB5728"/>
    <w:rsid w:val="00DE2572"/>
    <w:rsid w:val="00E0592B"/>
    <w:rsid w:val="00E152D6"/>
    <w:rsid w:val="00E31738"/>
    <w:rsid w:val="00E4031B"/>
    <w:rsid w:val="00E41679"/>
    <w:rsid w:val="00E86786"/>
    <w:rsid w:val="00E9767B"/>
    <w:rsid w:val="00ED18BB"/>
    <w:rsid w:val="00ED2F80"/>
    <w:rsid w:val="00ED6CCB"/>
    <w:rsid w:val="00EE0209"/>
    <w:rsid w:val="00EE2D3F"/>
    <w:rsid w:val="00EE396D"/>
    <w:rsid w:val="00F1624E"/>
    <w:rsid w:val="00F32F8A"/>
    <w:rsid w:val="00F42A51"/>
    <w:rsid w:val="00F810AA"/>
    <w:rsid w:val="00F906D4"/>
    <w:rsid w:val="00FB43EC"/>
    <w:rsid w:val="00FB6B40"/>
    <w:rsid w:val="00FC39F1"/>
    <w:rsid w:val="00FD6739"/>
    <w:rsid w:val="00FE20AC"/>
    <w:rsid w:val="00FF1905"/>
    <w:rsid w:val="13F9CC17"/>
    <w:rsid w:val="28BFB4D5"/>
    <w:rsid w:val="3BEEF514"/>
    <w:rsid w:val="57FF8B87"/>
    <w:rsid w:val="627D40F2"/>
    <w:rsid w:val="6C5F4EDC"/>
    <w:rsid w:val="6D7E4210"/>
    <w:rsid w:val="6FFF2A59"/>
    <w:rsid w:val="725E0C46"/>
    <w:rsid w:val="7D7D6117"/>
    <w:rsid w:val="7EDE9847"/>
    <w:rsid w:val="7EF7559B"/>
    <w:rsid w:val="7F6B5D12"/>
    <w:rsid w:val="C5FF877E"/>
    <w:rsid w:val="DB3B65B7"/>
    <w:rsid w:val="FAFB301C"/>
    <w:rsid w:val="FBEC13AD"/>
    <w:rsid w:val="FFF9463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keepNext/>
      <w:keepLines/>
      <w:tabs>
        <w:tab w:val="left" w:pos="6120"/>
      </w:tabs>
      <w:spacing w:after="240"/>
      <w:ind w:left="1080"/>
    </w:pPr>
  </w:style>
  <w:style w:type="paragraph" w:styleId="3">
    <w:name w:val="Balloon Text"/>
    <w:basedOn w:val="1"/>
    <w:link w:val="15"/>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7"/>
    <w:qFormat/>
    <w:uiPriority w:val="0"/>
    <w:pPr>
      <w:snapToGrid w:val="0"/>
      <w:jc w:val="left"/>
    </w:pPr>
    <w:rPr>
      <w:rFonts w:ascii="Times New Roman" w:hAnsi="Times New Roman"/>
      <w:sz w:val="18"/>
      <w:szCs w:val="1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nhideWhenUsed/>
    <w:qFormat/>
    <w:uiPriority w:val="99"/>
  </w:style>
  <w:style w:type="character" w:styleId="11">
    <w:name w:val="Hyperlink"/>
    <w:basedOn w:val="9"/>
    <w:unhideWhenUsed/>
    <w:qFormat/>
    <w:uiPriority w:val="99"/>
    <w:rPr>
      <w:color w:val="0000FF"/>
      <w:u w:val="single"/>
    </w:rPr>
  </w:style>
  <w:style w:type="character" w:styleId="12">
    <w:name w:val="footnote reference"/>
    <w:unhideWhenUsed/>
    <w:qFormat/>
    <w:uiPriority w:val="0"/>
    <w:rPr>
      <w:vertAlign w:val="superscript"/>
    </w:rPr>
  </w:style>
  <w:style w:type="character" w:customStyle="1" w:styleId="13">
    <w:name w:val="页眉 字符"/>
    <w:basedOn w:val="9"/>
    <w:link w:val="5"/>
    <w:qFormat/>
    <w:uiPriority w:val="99"/>
    <w:rPr>
      <w:rFonts w:ascii="Calibri" w:hAnsi="Calibri" w:eastAsia="宋体" w:cs="Times New Roman"/>
      <w:sz w:val="18"/>
      <w:szCs w:val="18"/>
    </w:rPr>
  </w:style>
  <w:style w:type="character" w:customStyle="1" w:styleId="14">
    <w:name w:val="页脚 字符"/>
    <w:basedOn w:val="9"/>
    <w:link w:val="4"/>
    <w:qFormat/>
    <w:uiPriority w:val="99"/>
    <w:rPr>
      <w:rFonts w:ascii="Calibri" w:hAnsi="Calibri" w:eastAsia="宋体" w:cs="Times New Roman"/>
      <w:sz w:val="18"/>
      <w:szCs w:val="18"/>
    </w:rPr>
  </w:style>
  <w:style w:type="character" w:customStyle="1" w:styleId="15">
    <w:name w:val="批注框文本 字符"/>
    <w:basedOn w:val="9"/>
    <w:link w:val="3"/>
    <w:semiHidden/>
    <w:qFormat/>
    <w:uiPriority w:val="99"/>
    <w:rPr>
      <w:rFonts w:ascii="Calibri" w:hAnsi="Calibri" w:eastAsia="宋体" w:cs="Times New Roman"/>
      <w:sz w:val="18"/>
      <w:szCs w:val="18"/>
    </w:rPr>
  </w:style>
  <w:style w:type="paragraph" w:customStyle="1" w:styleId="16">
    <w:name w:val="列表段落1"/>
    <w:basedOn w:val="1"/>
    <w:qFormat/>
    <w:uiPriority w:val="34"/>
    <w:pPr>
      <w:ind w:firstLine="420" w:firstLineChars="200"/>
    </w:pPr>
    <w:rPr>
      <w:rFonts w:ascii="Times New Roman" w:hAnsi="Times New Roman" w:eastAsiaTheme="minorEastAsia"/>
    </w:rPr>
  </w:style>
  <w:style w:type="character" w:customStyle="1" w:styleId="17">
    <w:name w:val="脚注文本 字符"/>
    <w:link w:val="6"/>
    <w:qFormat/>
    <w:uiPriority w:val="0"/>
    <w:rPr>
      <w:rFonts w:ascii="Times New Roman" w:hAnsi="Times New Roman" w:eastAsia="宋体" w:cs="Times New Roman"/>
      <w:sz w:val="18"/>
      <w:szCs w:val="18"/>
    </w:rPr>
  </w:style>
  <w:style w:type="character" w:customStyle="1" w:styleId="18">
    <w:name w:val="Footnote Text Char1"/>
    <w:basedOn w:val="9"/>
    <w:semiHidden/>
    <w:qFormat/>
    <w:uiPriority w:val="99"/>
    <w:rPr>
      <w:rFonts w:ascii="Calibri" w:hAnsi="Calibri" w:eastAsia="宋体" w:cs="Times New Roman"/>
      <w:sz w:val="20"/>
      <w:szCs w:val="20"/>
    </w:rPr>
  </w:style>
  <w:style w:type="paragraph" w:customStyle="1" w:styleId="19">
    <w:name w:val="修订1"/>
    <w:hidden/>
    <w:semiHidden/>
    <w:qFormat/>
    <w:uiPriority w:val="99"/>
    <w:rPr>
      <w:rFonts w:ascii="Calibri" w:hAnsi="Calibri" w:eastAsia="宋体" w:cs="Times New Roman"/>
      <w:kern w:val="2"/>
      <w:sz w:val="21"/>
      <w:szCs w:val="22"/>
      <w:lang w:val="en-US" w:eastAsia="zh-CN" w:bidi="ar-SA"/>
    </w:rPr>
  </w:style>
  <w:style w:type="paragraph" w:customStyle="1" w:styleId="20">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140</Words>
  <Characters>804</Characters>
  <Lines>6</Lines>
  <Paragraphs>1</Paragraphs>
  <TotalTime>2</TotalTime>
  <ScaleCrop>false</ScaleCrop>
  <LinksUpToDate>false</LinksUpToDate>
  <CharactersWithSpaces>943</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2021-06-28T22:47:00Z</dcterms:created>
  <dc:creator>陈媚</dc:creator>
  <cp:lastModifiedBy>Sunland</cp:lastModifiedBy>
  <dcterms:modified xsi:type="dcterms:W3CDTF">2022-12-22T16:53:48Z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7E8FA14479BC24149BB6A36327E8B04F</vt:lpwstr>
  </property>
</Properties>
</file>