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D48832" w14:textId="50175C55" w:rsidR="003D611A" w:rsidRPr="00457AF3" w:rsidRDefault="00457AF3" w:rsidP="006E4169">
      <w:pPr>
        <w:snapToGrid w:val="0"/>
        <w:spacing w:after="0"/>
        <w:jc w:val="center"/>
        <w:rPr>
          <w:rFonts w:ascii="宋体" w:hAnsi="宋体" w:cs="黑体"/>
          <w:bCs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547"/>
      </w:tblGrid>
      <w:tr w:rsidR="003D611A" w:rsidRPr="007C26B0" w14:paraId="28BE2FF3" w14:textId="77777777" w:rsidTr="003D611A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779DD5F" w14:textId="77777777" w:rsidR="003D611A" w:rsidRPr="007C26B0" w:rsidRDefault="003D611A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/>
              </w:rPr>
            </w:pPr>
            <w:proofErr w:type="spellStart"/>
            <w:r w:rsidRPr="007C26B0">
              <w:rPr>
                <w:rFonts w:ascii="宋体" w:hAnsi="宋体"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8154" w:type="dxa"/>
            <w:gridSpan w:val="2"/>
            <w:vAlign w:val="center"/>
          </w:tcPr>
          <w:p w14:paraId="192E8558" w14:textId="07D48DE2" w:rsidR="003D611A" w:rsidRPr="007C26B0" w:rsidRDefault="007C26B0" w:rsidP="006E4169">
            <w:pPr>
              <w:adjustRightInd w:val="0"/>
              <w:snapToGrid w:val="0"/>
              <w:spacing w:after="0"/>
              <w:rPr>
                <w:rFonts w:ascii="宋体" w:hAnsi="宋体" w:cstheme="majorBidi"/>
                <w:bCs/>
                <w:color w:val="000000"/>
                <w:lang w:val="en-US"/>
              </w:rPr>
            </w:pPr>
            <w:r w:rsidRPr="007C26B0">
              <w:rPr>
                <w:rFonts w:ascii="宋体" w:hAnsi="宋体" w:cstheme="majorBidi" w:hint="eastAsia"/>
                <w:bCs/>
                <w:color w:val="000000"/>
                <w:lang w:val="en-US"/>
              </w:rPr>
              <w:t>德国邮政敦豪集团与沙特阿美发展公司新设合营企业案</w:t>
            </w:r>
          </w:p>
        </w:tc>
      </w:tr>
      <w:tr w:rsidR="007C26B0" w:rsidRPr="007C26B0" w14:paraId="06F085AA" w14:textId="77777777" w:rsidTr="00F74F7A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34252D9" w14:textId="2A614864" w:rsidR="007C26B0" w:rsidRPr="007C26B0" w:rsidRDefault="007C26B0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7C26B0">
              <w:rPr>
                <w:rFonts w:ascii="宋体" w:hAnsi="宋体" w:cs="Times New Roman"/>
                <w:bCs/>
                <w:color w:val="000000"/>
                <w:lang w:eastAsia="zh-CN"/>
              </w:rPr>
              <w:t>交易概况</w:t>
            </w:r>
          </w:p>
        </w:tc>
        <w:tc>
          <w:tcPr>
            <w:tcW w:w="8154" w:type="dxa"/>
            <w:gridSpan w:val="2"/>
          </w:tcPr>
          <w:p w14:paraId="427112F1" w14:textId="761DC745" w:rsidR="007C26B0" w:rsidRPr="007C26B0" w:rsidRDefault="007C26B0" w:rsidP="006E4169">
            <w:pPr>
              <w:widowControl w:val="0"/>
              <w:adjustRightInd w:val="0"/>
              <w:snapToGrid w:val="0"/>
              <w:spacing w:after="0"/>
              <w:rPr>
                <w:rFonts w:ascii="宋体" w:hAnsi="宋体" w:cstheme="majorBidi"/>
                <w:bCs/>
                <w:color w:val="000000"/>
              </w:rPr>
            </w:pP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德国邮政敦豪集团（Deutsche Post AG，“</w:t>
            </w:r>
            <w:r w:rsidRPr="007C26B0">
              <w:rPr>
                <w:rFonts w:ascii="宋体" w:hAnsi="宋体" w:hint="eastAsia"/>
                <w:b/>
                <w:color w:val="000000" w:themeColor="text1"/>
                <w:bdr w:val="none" w:sz="0" w:space="0" w:color="auto" w:frame="1"/>
              </w:rPr>
              <w:t>DHL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”）</w:t>
            </w:r>
            <w:r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的一家间接全资子公司与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沙特阿美发展公司（“</w:t>
            </w:r>
            <w:r w:rsidRPr="007C26B0">
              <w:rPr>
                <w:rFonts w:ascii="宋体" w:hAnsi="宋体" w:hint="eastAsia"/>
                <w:b/>
                <w:color w:val="000000" w:themeColor="text1"/>
                <w:bdr w:val="none" w:sz="0" w:space="0" w:color="auto" w:frame="1"/>
              </w:rPr>
              <w:t>阿美发展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”）已签署协议拟设</w:t>
            </w:r>
            <w:proofErr w:type="gramStart"/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立一家</w:t>
            </w:r>
            <w:proofErr w:type="gramEnd"/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合营企业（“</w:t>
            </w:r>
            <w:r w:rsidRPr="007C26B0">
              <w:rPr>
                <w:rFonts w:ascii="宋体" w:hAnsi="宋体" w:hint="eastAsia"/>
                <w:b/>
                <w:color w:val="000000" w:themeColor="text1"/>
                <w:bdr w:val="none" w:sz="0" w:space="0" w:color="auto" w:frame="1"/>
              </w:rPr>
              <w:t>合营企业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”），合营企业将在中国境外</w:t>
            </w:r>
            <w:r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从事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开发、运营和维护</w:t>
            </w:r>
            <w:r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提供采购和物流服务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设施</w:t>
            </w:r>
            <w:r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的业务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（“</w:t>
            </w:r>
            <w:r w:rsidRPr="007C26B0">
              <w:rPr>
                <w:rFonts w:ascii="宋体" w:hAnsi="宋体" w:hint="eastAsia"/>
                <w:b/>
                <w:color w:val="000000" w:themeColor="text1"/>
                <w:bdr w:val="none" w:sz="0" w:space="0" w:color="auto" w:frame="1"/>
              </w:rPr>
              <w:t>本次交易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”）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。</w:t>
            </w:r>
            <w:r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本次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交易交割后，</w:t>
            </w:r>
            <w:r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D</w:t>
            </w:r>
            <w:r>
              <w:rPr>
                <w:rFonts w:ascii="宋体" w:hAnsi="宋体"/>
                <w:color w:val="000000" w:themeColor="text1"/>
                <w:bdr w:val="none" w:sz="0" w:space="0" w:color="auto" w:frame="1"/>
              </w:rPr>
              <w:t>HL</w:t>
            </w:r>
            <w:r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（通过其子公司）将持有合营企业5</w:t>
            </w:r>
            <w:r>
              <w:rPr>
                <w:rFonts w:ascii="宋体" w:hAnsi="宋体"/>
                <w:color w:val="000000" w:themeColor="text1"/>
                <w:bdr w:val="none" w:sz="0" w:space="0" w:color="auto" w:frame="1"/>
              </w:rPr>
              <w:t>1%</w:t>
            </w:r>
            <w:r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的股权，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阿美发展</w:t>
            </w:r>
            <w:r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将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持有合营企业</w:t>
            </w:r>
            <w:r>
              <w:rPr>
                <w:rFonts w:ascii="宋体" w:hAnsi="宋体"/>
                <w:color w:val="000000" w:themeColor="text1"/>
                <w:bdr w:val="none" w:sz="0" w:space="0" w:color="auto" w:frame="1"/>
              </w:rPr>
              <w:t>49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%的股权，从而共同控制合营企业。</w:t>
            </w:r>
          </w:p>
        </w:tc>
      </w:tr>
      <w:tr w:rsidR="003D611A" w:rsidRPr="007C26B0" w14:paraId="3CEBAECB" w14:textId="77777777" w:rsidTr="003D611A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44483A1" w14:textId="7122F639" w:rsidR="003D611A" w:rsidRPr="007C26B0" w:rsidRDefault="003D611A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7C26B0">
              <w:rPr>
                <w:rFonts w:ascii="宋体" w:hAnsi="宋体" w:cs="Times New Roman"/>
                <w:bCs/>
                <w:color w:val="000000"/>
                <w:lang w:eastAsia="zh-CN"/>
              </w:rPr>
              <w:t>参与集中的经营者简介</w:t>
            </w:r>
          </w:p>
        </w:tc>
        <w:tc>
          <w:tcPr>
            <w:tcW w:w="1607" w:type="dxa"/>
            <w:vAlign w:val="center"/>
          </w:tcPr>
          <w:p w14:paraId="637A8C28" w14:textId="1B033919" w:rsidR="003D611A" w:rsidRPr="007C26B0" w:rsidRDefault="007C26B0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theme="majorBidi"/>
                <w:bCs/>
                <w:color w:val="000000"/>
                <w:lang w:eastAsia="zh-CN"/>
              </w:rPr>
            </w:pPr>
            <w:r w:rsidRPr="007C26B0">
              <w:rPr>
                <w:rFonts w:ascii="宋体" w:hAnsi="宋体"/>
                <w:color w:val="000000" w:themeColor="text1"/>
                <w:bdr w:val="none" w:sz="0" w:space="0" w:color="auto" w:frame="1"/>
                <w:lang w:eastAsia="zh-CN"/>
              </w:rPr>
              <w:t>1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  <w:lang w:eastAsia="zh-CN"/>
              </w:rPr>
              <w:t>.</w:t>
            </w:r>
            <w:r w:rsidR="00F721FF" w:rsidRPr="007C26B0">
              <w:rPr>
                <w:rFonts w:ascii="宋体" w:hAnsi="宋体" w:cstheme="majorBidi"/>
                <w:bCs/>
                <w:color w:val="000000"/>
                <w:lang w:val="en-US" w:eastAsia="zh-CN"/>
              </w:rPr>
              <w:t>DHL</w:t>
            </w:r>
          </w:p>
        </w:tc>
        <w:tc>
          <w:tcPr>
            <w:tcW w:w="6547" w:type="dxa"/>
            <w:vAlign w:val="center"/>
          </w:tcPr>
          <w:p w14:paraId="33A3EC4F" w14:textId="77777777" w:rsidR="004F7A42" w:rsidRPr="004F7A42" w:rsidRDefault="00F721FF" w:rsidP="006E4169">
            <w:pPr>
              <w:snapToGrid w:val="0"/>
              <w:spacing w:after="0"/>
              <w:rPr>
                <w:rFonts w:ascii="宋体" w:hAnsi="宋体"/>
                <w:color w:val="000000" w:themeColor="text1"/>
                <w:bdr w:val="none" w:sz="0" w:space="0" w:color="auto" w:frame="1"/>
              </w:rPr>
            </w:pPr>
            <w:r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DHL</w:t>
            </w:r>
            <w:r w:rsidR="008B3422"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于</w:t>
            </w:r>
            <w:r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1995</w:t>
            </w:r>
            <w:r w:rsidR="00C80335"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年</w:t>
            </w:r>
            <w:r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1</w:t>
            </w:r>
            <w:r w:rsidR="00C80335"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月</w:t>
            </w:r>
            <w:r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2</w:t>
            </w:r>
            <w:r w:rsidR="00C80335"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日成立于</w:t>
            </w:r>
            <w:r w:rsidR="00001459"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德国</w:t>
            </w:r>
            <w:r w:rsidR="00561252"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，</w:t>
            </w:r>
            <w:r w:rsidR="00001459"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为法兰克福证券交易所上市公司，</w:t>
            </w:r>
            <w:r w:rsidR="00561252"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主要</w:t>
            </w:r>
            <w:r w:rsidR="00C637C9"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从事物流业务</w:t>
            </w:r>
            <w:r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，包括国内和国际包裹递送、国际快递、货运、电子商务和供应链管理服务</w:t>
            </w:r>
            <w:r w:rsidR="00C80335"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。</w:t>
            </w:r>
          </w:p>
          <w:p w14:paraId="1016273B" w14:textId="73EBAEF5" w:rsidR="00C80335" w:rsidRPr="004F7A42" w:rsidRDefault="00F721FF" w:rsidP="006E4169">
            <w:pPr>
              <w:snapToGrid w:val="0"/>
              <w:spacing w:after="0"/>
              <w:rPr>
                <w:rFonts w:ascii="宋体" w:hAnsi="宋体"/>
                <w:color w:val="000000" w:themeColor="text1"/>
                <w:bdr w:val="none" w:sz="0" w:space="0" w:color="auto" w:frame="1"/>
              </w:rPr>
            </w:pPr>
            <w:r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DHL</w:t>
            </w:r>
            <w:proofErr w:type="gramStart"/>
            <w:r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无最终</w:t>
            </w:r>
            <w:proofErr w:type="gramEnd"/>
            <w:r w:rsidRPr="004F7A42">
              <w:rPr>
                <w:rFonts w:ascii="宋体" w:hAnsi="宋体"/>
                <w:color w:val="000000" w:themeColor="text1"/>
                <w:bdr w:val="none" w:sz="0" w:space="0" w:color="auto" w:frame="1"/>
              </w:rPr>
              <w:t>控制人。</w:t>
            </w:r>
          </w:p>
        </w:tc>
      </w:tr>
      <w:tr w:rsidR="007C26B0" w:rsidRPr="007C26B0" w14:paraId="0A4C7D2B" w14:textId="77777777" w:rsidTr="007B7320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89D699A" w14:textId="77777777" w:rsidR="007C26B0" w:rsidRPr="007C26B0" w:rsidRDefault="007C26B0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9E91A35" w14:textId="70CA949E" w:rsidR="007C26B0" w:rsidRPr="007C26B0" w:rsidRDefault="007C26B0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theme="majorBidi"/>
                <w:bCs/>
                <w:color w:val="000000"/>
                <w:lang w:eastAsia="zh-CN"/>
              </w:rPr>
            </w:pPr>
            <w:r w:rsidRPr="007C26B0">
              <w:rPr>
                <w:rFonts w:ascii="宋体" w:hAnsi="宋体"/>
                <w:color w:val="000000" w:themeColor="text1"/>
                <w:bdr w:val="none" w:sz="0" w:space="0" w:color="auto" w:frame="1"/>
              </w:rPr>
              <w:t>2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  <w:lang w:eastAsia="zh-CN"/>
              </w:rPr>
              <w:t>.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阿美发展</w:t>
            </w:r>
          </w:p>
        </w:tc>
        <w:tc>
          <w:tcPr>
            <w:tcW w:w="6547" w:type="dxa"/>
          </w:tcPr>
          <w:p w14:paraId="6C5ADD4E" w14:textId="77777777" w:rsidR="00BF0040" w:rsidRDefault="007C26B0" w:rsidP="00052ACB">
            <w:pPr>
              <w:snapToGrid w:val="0"/>
              <w:spacing w:after="0"/>
              <w:rPr>
                <w:rFonts w:ascii="宋体" w:hAnsi="宋体"/>
                <w:color w:val="000000" w:themeColor="text1"/>
                <w:bdr w:val="none" w:sz="0" w:space="0" w:color="auto" w:frame="1"/>
              </w:rPr>
            </w:pP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阿美发展于2</w:t>
            </w:r>
            <w:r w:rsidRPr="007C26B0">
              <w:rPr>
                <w:rFonts w:ascii="宋体" w:hAnsi="宋体"/>
                <w:color w:val="000000" w:themeColor="text1"/>
                <w:bdr w:val="none" w:sz="0" w:space="0" w:color="auto" w:frame="1"/>
              </w:rPr>
              <w:t>013</w:t>
            </w: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年成立于沙特阿拉伯，旨在实现沙</w:t>
            </w:r>
            <w:r w:rsidR="004F7A42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特阿拉伯石油和天然气、石化、电力、采矿和其他行业的现代化和发展</w:t>
            </w:r>
            <w:r w:rsidR="00BF004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。</w:t>
            </w:r>
          </w:p>
          <w:p w14:paraId="0117D4D4" w14:textId="6BF33591" w:rsidR="007C26B0" w:rsidRPr="004F7A42" w:rsidRDefault="007C26B0" w:rsidP="00052ACB">
            <w:pPr>
              <w:snapToGrid w:val="0"/>
              <w:spacing w:after="0"/>
              <w:rPr>
                <w:rFonts w:ascii="宋体" w:hAnsi="宋体"/>
                <w:color w:val="000000" w:themeColor="text1"/>
                <w:bdr w:val="none" w:sz="0" w:space="0" w:color="auto" w:frame="1"/>
              </w:rPr>
            </w:pPr>
            <w:r w:rsidRPr="007C26B0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阿美发展的最终控制人为沙特阿拉伯国家石油公司，主要从事勘察、勘探、钻探和提炼碳氢化合物，以及加工、制造、提炼和销售这些物质。</w:t>
            </w:r>
          </w:p>
        </w:tc>
      </w:tr>
      <w:tr w:rsidR="003D611A" w:rsidRPr="007C26B0" w14:paraId="6E302808" w14:textId="77777777" w:rsidTr="003D611A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36A9E49" w14:textId="654CD700" w:rsidR="003D611A" w:rsidRPr="007C26B0" w:rsidRDefault="003D611A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7C26B0">
              <w:rPr>
                <w:rFonts w:ascii="宋体" w:hAnsi="宋体" w:cs="Times New Roman"/>
                <w:bCs/>
                <w:color w:val="000000"/>
                <w:lang w:eastAsia="zh-CN"/>
              </w:rPr>
              <w:t>简易案件理由</w:t>
            </w:r>
          </w:p>
        </w:tc>
        <w:tc>
          <w:tcPr>
            <w:tcW w:w="8154" w:type="dxa"/>
            <w:gridSpan w:val="2"/>
            <w:vAlign w:val="center"/>
          </w:tcPr>
          <w:p w14:paraId="1C471653" w14:textId="6A0F80F4" w:rsidR="003D611A" w:rsidRPr="007C26B0" w:rsidRDefault="00F3286A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theme="majorBidi"/>
                <w:bCs/>
                <w:color w:val="000000"/>
                <w:lang w:val="en-US" w:eastAsia="zh-CN"/>
              </w:rPr>
            </w:pPr>
            <w:r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sym w:font="Wingdings" w:char="00A8"/>
            </w:r>
            <w:r w:rsidR="00D717D1"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t xml:space="preserve"> </w:t>
            </w:r>
            <w:r w:rsidR="003D611A"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t>1、在同一相关市场，所有参与集中的经营者所占市场份额之和小于15%。</w:t>
            </w:r>
          </w:p>
        </w:tc>
      </w:tr>
      <w:tr w:rsidR="003D611A" w:rsidRPr="007C26B0" w14:paraId="3514E504" w14:textId="77777777" w:rsidTr="003D611A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487CB41A" w14:textId="77777777" w:rsidR="003D611A" w:rsidRPr="007C26B0" w:rsidRDefault="003D611A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73162EF8" w14:textId="55E609CC" w:rsidR="003D611A" w:rsidRPr="007C26B0" w:rsidRDefault="00F721FF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theme="majorBidi"/>
                <w:bCs/>
                <w:color w:val="000000"/>
                <w:lang w:val="en-US" w:eastAsia="zh-CN"/>
              </w:rPr>
            </w:pPr>
            <w:r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sym w:font="Wingdings" w:char="00A8"/>
            </w:r>
            <w:r w:rsidR="00D717D1"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t xml:space="preserve"> </w:t>
            </w:r>
            <w:r w:rsidR="003D611A"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t>2、存在上下游关系的参与集中的经营者，在上下游市场所占的市场份额均小于25%。</w:t>
            </w:r>
          </w:p>
        </w:tc>
      </w:tr>
      <w:tr w:rsidR="003D611A" w:rsidRPr="007C26B0" w14:paraId="49C98DCA" w14:textId="77777777" w:rsidTr="003D611A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DA2AD48" w14:textId="77777777" w:rsidR="003D611A" w:rsidRPr="007C26B0" w:rsidRDefault="003D611A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64DE9366" w14:textId="28BA3A65" w:rsidR="003D611A" w:rsidRPr="007C26B0" w:rsidRDefault="003D611A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theme="majorBidi"/>
                <w:bCs/>
                <w:color w:val="000000"/>
                <w:lang w:val="en-US" w:eastAsia="zh-CN"/>
              </w:rPr>
            </w:pPr>
            <w:r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sym w:font="Wingdings" w:char="00A8"/>
            </w:r>
            <w:r w:rsidR="00D717D1"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t xml:space="preserve"> </w:t>
            </w:r>
            <w:r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3D611A" w:rsidRPr="007C26B0" w14:paraId="4A171F9E" w14:textId="77777777" w:rsidTr="003D611A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4516123" w14:textId="77777777" w:rsidR="003D611A" w:rsidRPr="007C26B0" w:rsidRDefault="003D611A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510864FD" w14:textId="73CAD879" w:rsidR="003D611A" w:rsidRPr="007C26B0" w:rsidRDefault="007C26B0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theme="majorBidi"/>
                <w:bCs/>
                <w:color w:val="000000"/>
                <w:lang w:val="en-US" w:eastAsia="zh-CN"/>
              </w:rPr>
            </w:pPr>
            <w:r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sym w:font="Wingdings" w:char="00FE"/>
            </w:r>
            <w:r w:rsidR="003D611A"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3D611A" w:rsidRPr="007C26B0" w14:paraId="40BB97CA" w14:textId="77777777" w:rsidTr="003D611A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424C4D7" w14:textId="77777777" w:rsidR="003D611A" w:rsidRPr="007C26B0" w:rsidRDefault="003D611A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41A06125" w14:textId="0E6B0975" w:rsidR="003D611A" w:rsidRPr="007C26B0" w:rsidRDefault="007C26B0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theme="majorBidi"/>
                <w:bCs/>
                <w:color w:val="000000"/>
                <w:lang w:val="en-US" w:eastAsia="zh-CN"/>
              </w:rPr>
            </w:pPr>
            <w:r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sym w:font="Wingdings" w:char="00A8"/>
            </w:r>
            <w:r w:rsidR="00D717D1"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t xml:space="preserve"> </w:t>
            </w:r>
            <w:r w:rsidR="003D611A"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t>5、参与集中的经营者收购境外企业股权或资产的，该境外企业不在中国境内从事经济活动。</w:t>
            </w:r>
          </w:p>
        </w:tc>
      </w:tr>
      <w:tr w:rsidR="003D611A" w:rsidRPr="007C26B0" w14:paraId="043BCAB3" w14:textId="77777777" w:rsidTr="003D611A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7BB07EE" w14:textId="77777777" w:rsidR="003D611A" w:rsidRPr="007C26B0" w:rsidRDefault="003D611A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5D2C36B6" w14:textId="7F0C80F5" w:rsidR="003D611A" w:rsidRPr="007C26B0" w:rsidRDefault="003D611A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theme="majorBidi"/>
                <w:bCs/>
                <w:color w:val="000000"/>
                <w:lang w:val="en-US" w:eastAsia="zh-CN"/>
              </w:rPr>
            </w:pPr>
            <w:r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sym w:font="Wingdings" w:char="00A8"/>
            </w:r>
            <w:r w:rsidR="00D717D1"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t xml:space="preserve"> </w:t>
            </w:r>
            <w:bookmarkStart w:id="0" w:name="_GoBack"/>
            <w:bookmarkEnd w:id="0"/>
            <w:r w:rsidRPr="007C26B0">
              <w:rPr>
                <w:rFonts w:ascii="宋体" w:hAnsi="宋体" w:cstheme="majorBidi"/>
                <w:bCs/>
                <w:color w:val="000000"/>
                <w:lang w:eastAsia="zh-CN"/>
              </w:rPr>
              <w:t>6、由两个以上的经营者共同控制的合营企业，通过集中被其中一个或一个以上经营者控制。</w:t>
            </w:r>
          </w:p>
        </w:tc>
      </w:tr>
      <w:tr w:rsidR="003D611A" w:rsidRPr="007C26B0" w14:paraId="4557D99E" w14:textId="77777777" w:rsidTr="003D611A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04DBDBB2" w14:textId="77777777" w:rsidR="003D611A" w:rsidRPr="007C26B0" w:rsidRDefault="003D611A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7C26B0">
              <w:rPr>
                <w:rFonts w:ascii="宋体" w:hAnsi="宋体"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8154" w:type="dxa"/>
            <w:gridSpan w:val="2"/>
            <w:vAlign w:val="center"/>
          </w:tcPr>
          <w:p w14:paraId="535A2C07" w14:textId="170BB807" w:rsidR="00D96567" w:rsidRPr="007C26B0" w:rsidRDefault="00F721FF" w:rsidP="006E4169">
            <w:pPr>
              <w:pStyle w:val="BodyText"/>
              <w:adjustRightInd w:val="0"/>
              <w:snapToGrid w:val="0"/>
              <w:spacing w:after="0"/>
              <w:rPr>
                <w:rFonts w:ascii="宋体" w:hAnsi="宋体" w:cstheme="majorBidi"/>
                <w:bCs/>
                <w:color w:val="000000"/>
                <w:lang w:val="en-US" w:eastAsia="zh-CN"/>
              </w:rPr>
            </w:pPr>
            <w:r w:rsidRPr="007C26B0">
              <w:rPr>
                <w:rFonts w:ascii="宋体" w:hAnsi="宋体" w:cstheme="majorBidi"/>
                <w:color w:val="000000"/>
                <w:lang w:eastAsia="zh-CN"/>
              </w:rPr>
              <w:t>不适用</w:t>
            </w:r>
          </w:p>
        </w:tc>
      </w:tr>
    </w:tbl>
    <w:p w14:paraId="56444A67" w14:textId="77777777" w:rsidR="00ED512E" w:rsidRPr="00457AF3" w:rsidRDefault="00ED512E" w:rsidP="006E4169">
      <w:pPr>
        <w:snapToGrid w:val="0"/>
        <w:spacing w:after="0"/>
        <w:rPr>
          <w:rFonts w:ascii="宋体" w:hAnsi="宋体"/>
        </w:rPr>
      </w:pPr>
    </w:p>
    <w:sectPr w:rsidR="00ED512E" w:rsidRPr="00457AF3" w:rsidSect="003D611A"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6251FC" w14:textId="77777777" w:rsidR="00471425" w:rsidRDefault="00471425">
      <w:pPr>
        <w:spacing w:after="0"/>
      </w:pPr>
    </w:p>
  </w:endnote>
  <w:endnote w:type="continuationSeparator" w:id="0">
    <w:p w14:paraId="5F277102" w14:textId="77777777" w:rsidR="00471425" w:rsidRDefault="0047142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AA9D55" w14:textId="77777777" w:rsidR="00471425" w:rsidRDefault="00471425">
      <w:pPr>
        <w:spacing w:after="0"/>
      </w:pPr>
    </w:p>
  </w:footnote>
  <w:footnote w:type="continuationSeparator" w:id="0">
    <w:p w14:paraId="1BAC2180" w14:textId="77777777" w:rsidR="00471425" w:rsidRDefault="00471425">
      <w:pPr>
        <w:spacing w:after="0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11A"/>
    <w:rsid w:val="00001459"/>
    <w:rsid w:val="00013BA4"/>
    <w:rsid w:val="00052ACB"/>
    <w:rsid w:val="000918F6"/>
    <w:rsid w:val="00092C73"/>
    <w:rsid w:val="000B4C36"/>
    <w:rsid w:val="000B5F3C"/>
    <w:rsid w:val="000B7BA1"/>
    <w:rsid w:val="000F75B1"/>
    <w:rsid w:val="00106063"/>
    <w:rsid w:val="00122A38"/>
    <w:rsid w:val="00165377"/>
    <w:rsid w:val="001C51DF"/>
    <w:rsid w:val="002075AF"/>
    <w:rsid w:val="0026261D"/>
    <w:rsid w:val="002766B0"/>
    <w:rsid w:val="002859F8"/>
    <w:rsid w:val="002D7079"/>
    <w:rsid w:val="00320C4D"/>
    <w:rsid w:val="00324E96"/>
    <w:rsid w:val="003743DF"/>
    <w:rsid w:val="00383FD9"/>
    <w:rsid w:val="00393939"/>
    <w:rsid w:val="003A391B"/>
    <w:rsid w:val="003C3352"/>
    <w:rsid w:val="003D54DD"/>
    <w:rsid w:val="003D611A"/>
    <w:rsid w:val="003F7337"/>
    <w:rsid w:val="00412CEB"/>
    <w:rsid w:val="00457AF3"/>
    <w:rsid w:val="0046562E"/>
    <w:rsid w:val="00471425"/>
    <w:rsid w:val="004D4520"/>
    <w:rsid w:val="004F0666"/>
    <w:rsid w:val="004F7A42"/>
    <w:rsid w:val="0050423B"/>
    <w:rsid w:val="00504EC7"/>
    <w:rsid w:val="00524393"/>
    <w:rsid w:val="00561252"/>
    <w:rsid w:val="00583D61"/>
    <w:rsid w:val="005B2159"/>
    <w:rsid w:val="005B34AA"/>
    <w:rsid w:val="005D01E2"/>
    <w:rsid w:val="005D2614"/>
    <w:rsid w:val="005D44C4"/>
    <w:rsid w:val="005D558B"/>
    <w:rsid w:val="005E2429"/>
    <w:rsid w:val="005E3674"/>
    <w:rsid w:val="005E3ABA"/>
    <w:rsid w:val="005E60A5"/>
    <w:rsid w:val="006042C3"/>
    <w:rsid w:val="00654DCA"/>
    <w:rsid w:val="0065679C"/>
    <w:rsid w:val="006C6AF3"/>
    <w:rsid w:val="006E4169"/>
    <w:rsid w:val="00733D47"/>
    <w:rsid w:val="00743AD4"/>
    <w:rsid w:val="007B4C2A"/>
    <w:rsid w:val="007C26B0"/>
    <w:rsid w:val="007E5F69"/>
    <w:rsid w:val="008142DB"/>
    <w:rsid w:val="008741E9"/>
    <w:rsid w:val="00895DCF"/>
    <w:rsid w:val="008A4E92"/>
    <w:rsid w:val="008A6117"/>
    <w:rsid w:val="008B3422"/>
    <w:rsid w:val="008C701F"/>
    <w:rsid w:val="009049C5"/>
    <w:rsid w:val="009233C6"/>
    <w:rsid w:val="009456E8"/>
    <w:rsid w:val="00955597"/>
    <w:rsid w:val="009A43DF"/>
    <w:rsid w:val="009D1281"/>
    <w:rsid w:val="00A10350"/>
    <w:rsid w:val="00A73D4C"/>
    <w:rsid w:val="00AC1DCB"/>
    <w:rsid w:val="00B103AE"/>
    <w:rsid w:val="00B50EFD"/>
    <w:rsid w:val="00B545A6"/>
    <w:rsid w:val="00B54E74"/>
    <w:rsid w:val="00B56137"/>
    <w:rsid w:val="00B610D6"/>
    <w:rsid w:val="00B83F97"/>
    <w:rsid w:val="00B9105B"/>
    <w:rsid w:val="00BF0040"/>
    <w:rsid w:val="00C15E43"/>
    <w:rsid w:val="00C36FA3"/>
    <w:rsid w:val="00C37599"/>
    <w:rsid w:val="00C51B5E"/>
    <w:rsid w:val="00C637C9"/>
    <w:rsid w:val="00C80335"/>
    <w:rsid w:val="00CA1F1C"/>
    <w:rsid w:val="00CE0126"/>
    <w:rsid w:val="00D02977"/>
    <w:rsid w:val="00D5727C"/>
    <w:rsid w:val="00D717D1"/>
    <w:rsid w:val="00D7473B"/>
    <w:rsid w:val="00D96567"/>
    <w:rsid w:val="00D96DC8"/>
    <w:rsid w:val="00DB2F6E"/>
    <w:rsid w:val="00DC013B"/>
    <w:rsid w:val="00DC0624"/>
    <w:rsid w:val="00E00EF6"/>
    <w:rsid w:val="00E53073"/>
    <w:rsid w:val="00E7406A"/>
    <w:rsid w:val="00E75A69"/>
    <w:rsid w:val="00EB3F65"/>
    <w:rsid w:val="00ED041B"/>
    <w:rsid w:val="00ED512E"/>
    <w:rsid w:val="00F07E59"/>
    <w:rsid w:val="00F20428"/>
    <w:rsid w:val="00F3286A"/>
    <w:rsid w:val="00F721FF"/>
    <w:rsid w:val="00F97C33"/>
    <w:rsid w:val="00FE00B5"/>
    <w:rsid w:val="00FE057F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EBFADFA"/>
  <w15:chartTrackingRefBased/>
  <w15:docId w15:val="{235C44AB-DE6C-4738-914F-9192B6BB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11A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D611A"/>
    <w:rPr>
      <w:rFonts w:cs="Simplified Arabic"/>
      <w:lang w:eastAsia="en-GB"/>
    </w:rPr>
  </w:style>
  <w:style w:type="character" w:customStyle="1" w:styleId="BodyTextChar">
    <w:name w:val="Body Text Char"/>
    <w:basedOn w:val="DefaultParagraphFont"/>
    <w:link w:val="BodyText"/>
    <w:rsid w:val="003D611A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table" w:styleId="TableGrid">
    <w:name w:val="Table Grid"/>
    <w:basedOn w:val="TableNormal"/>
    <w:uiPriority w:val="39"/>
    <w:rsid w:val="00D965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04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D041B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Footer">
    <w:name w:val="footer"/>
    <w:basedOn w:val="Normal"/>
    <w:link w:val="FooterChar"/>
    <w:uiPriority w:val="99"/>
    <w:unhideWhenUsed/>
    <w:rsid w:val="00ED04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D041B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9F8"/>
    <w:pPr>
      <w:spacing w:after="0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9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character" w:styleId="CommentReference">
    <w:name w:val="annotation reference"/>
    <w:basedOn w:val="DefaultParagraphFont"/>
    <w:uiPriority w:val="99"/>
    <w:semiHidden/>
    <w:unhideWhenUsed/>
    <w:rsid w:val="00F07E59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7E59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7E59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7E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7E59"/>
    <w:rPr>
      <w:rFonts w:ascii="Times New Roman" w:eastAsia="宋体" w:hAnsi="Times New Roman" w:cs="Times New Roman"/>
      <w:b/>
      <w:bCs/>
      <w:kern w:val="0"/>
      <w:sz w:val="24"/>
      <w:szCs w:val="24"/>
      <w:lang w:val="en-GB" w:bidi="ar-AE"/>
    </w:rPr>
  </w:style>
  <w:style w:type="paragraph" w:styleId="MacroText">
    <w:name w:val="macro"/>
    <w:link w:val="MacroTextChar"/>
    <w:rsid w:val="00F3286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eastAsia="宋体" w:hAnsi="Courier New" w:cs="Courier New"/>
      <w:kern w:val="0"/>
      <w:sz w:val="20"/>
      <w:szCs w:val="20"/>
      <w:lang w:val="en-GB" w:bidi="ar-AE"/>
    </w:rPr>
  </w:style>
  <w:style w:type="character" w:customStyle="1" w:styleId="MacroTextChar">
    <w:name w:val="Macro Text Char"/>
    <w:basedOn w:val="DefaultParagraphFont"/>
    <w:link w:val="MacroText"/>
    <w:rsid w:val="00F3286A"/>
    <w:rPr>
      <w:rFonts w:ascii="Courier New" w:eastAsia="宋体" w:hAnsi="Courier New" w:cs="Courier New"/>
      <w:kern w:val="0"/>
      <w:sz w:val="20"/>
      <w:szCs w:val="20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A5E60-976F-480D-A2C3-17F4CC3F0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116</Words>
  <Characters>649</Characters>
  <Application>Microsoft Office Word</Application>
  <DocSecurity>0</DocSecurity>
  <Lines>24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Allen &amp; Overy</cp:lastModifiedBy>
  <cp:revision>35</cp:revision>
  <dcterms:created xsi:type="dcterms:W3CDTF">2022-06-14T00:49:00Z</dcterms:created>
  <dcterms:modified xsi:type="dcterms:W3CDTF">2023-03-16T09:08:00Z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etDate">
    <vt:lpwstr>2023-03-16T04:12:27Z</vt:lpwstr>
  </property>
  <property fmtid="{D5CDD505-2E9C-101B-9397-08002B2CF9AE}" pid="4" name="MSIP_Label_42e67a54-274b-43d7-8098-b3ba5f50e576_Method">
    <vt:lpwstr>Standard</vt:lpwstr>
  </property>
  <property fmtid="{D5CDD505-2E9C-101B-9397-08002B2CF9AE}" pid="5" name="MSIP_Label_42e67a54-274b-43d7-8098-b3ba5f50e576_Name">
    <vt:lpwstr>42e67a54-274b-43d7-8098-b3ba5f50e576</vt:lpwstr>
  </property>
  <property fmtid="{D5CDD505-2E9C-101B-9397-08002B2CF9AE}" pid="6" name="MSIP_Label_42e67a54-274b-43d7-8098-b3ba5f50e576_SiteId">
    <vt:lpwstr>7f0b44d2-04f8-4672-bf5d-4676796468a3</vt:lpwstr>
  </property>
  <property fmtid="{D5CDD505-2E9C-101B-9397-08002B2CF9AE}" pid="7" name="MSIP_Label_42e67a54-274b-43d7-8098-b3ba5f50e576_ActionId">
    <vt:lpwstr>f167c148-059c-4156-b0ea-532825f84cdc</vt:lpwstr>
  </property>
  <property fmtid="{D5CDD505-2E9C-101B-9397-08002B2CF9AE}" pid="8" name="MSIP_Label_42e67a54-274b-43d7-8098-b3ba5f50e576_ContentBits">
    <vt:lpwstr>0</vt:lpwstr>
  </property>
  <property fmtid="{D5CDD505-2E9C-101B-9397-08002B2CF9AE}" pid="9" name="Client">
    <vt:lpwstr>0030589</vt:lpwstr>
  </property>
  <property fmtid="{D5CDD505-2E9C-101B-9397-08002B2CF9AE}" pid="10" name="Matter">
    <vt:lpwstr>0000252</vt:lpwstr>
  </property>
  <property fmtid="{D5CDD505-2E9C-101B-9397-08002B2CF9AE}" pid="11" name="cpDocRef">
    <vt:lpwstr>EUO3: 2011560326.1</vt:lpwstr>
  </property>
  <property fmtid="{D5CDD505-2E9C-101B-9397-08002B2CF9AE}" pid="12" name="cpClientMatter">
    <vt:lpwstr>0030589-0000252</vt:lpwstr>
  </property>
  <property fmtid="{D5CDD505-2E9C-101B-9397-08002B2CF9AE}" pid="13" name="cpCombinedRef">
    <vt:lpwstr>0030589-0000252 EUO3: 2011560326.1</vt:lpwstr>
  </property>
</Properties>
</file>