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440" w:lineRule="exact"/>
        <w:jc w:val="center"/>
        <w:rPr>
          <w:rFonts w:asciiTheme="minorEastAsia" w:hAnsiTheme="minorEastAsia" w:eastAsiaTheme="minorEastAsia"/>
          <w:sz w:val="24"/>
          <w:szCs w:val="24"/>
        </w:rPr>
      </w:pPr>
      <w:r>
        <w:rPr>
          <w:rFonts w:hint="eastAsia" w:asciiTheme="minorEastAsia" w:hAnsiTheme="minorEastAsia" w:eastAsiaTheme="minorEastAsia"/>
          <w:b/>
          <w:sz w:val="30"/>
          <w:szCs w:val="30"/>
        </w:rPr>
        <w:t>经营者集中简易案件公示表</w:t>
      </w:r>
    </w:p>
    <w:tbl>
      <w:tblPr>
        <w:tblStyle w:val="7"/>
        <w:tblW w:w="886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9"/>
        <w:gridCol w:w="1465"/>
        <w:gridCol w:w="58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9" w:type="dxa"/>
            <w:shd w:val="clear" w:color="auto" w:fill="D9D9D9"/>
          </w:tcPr>
          <w:p>
            <w:pPr>
              <w:spacing w:line="500" w:lineRule="exact"/>
              <w:rPr>
                <w:rFonts w:asciiTheme="minorEastAsia" w:hAnsiTheme="minorEastAsia" w:eastAsia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案件名称</w:t>
            </w:r>
          </w:p>
        </w:tc>
        <w:tc>
          <w:tcPr>
            <w:tcW w:w="7326" w:type="dxa"/>
            <w:gridSpan w:val="2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auto"/>
              <w:textAlignment w:val="auto"/>
              <w:rPr>
                <w:rFonts w:asciiTheme="minorEastAsia" w:hAnsiTheme="minorEastAsia" w:eastAsia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bCs/>
                <w:sz w:val="24"/>
                <w:szCs w:val="24"/>
              </w:rPr>
              <w:t>贵阳市工业投资有限公司收购贵州詹阳动力重工有限公司股权案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3" w:hRule="atLeast"/>
          <w:jc w:val="center"/>
        </w:trPr>
        <w:tc>
          <w:tcPr>
            <w:tcW w:w="1539" w:type="dxa"/>
            <w:shd w:val="clear" w:color="auto" w:fill="D9D9D9"/>
          </w:tcPr>
          <w:p>
            <w:pPr>
              <w:spacing w:line="500" w:lineRule="exact"/>
              <w:rPr>
                <w:rFonts w:asciiTheme="minorEastAsia" w:hAnsiTheme="minorEastAsia" w:eastAsia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交易概况（限200字内）</w:t>
            </w:r>
          </w:p>
        </w:tc>
        <w:tc>
          <w:tcPr>
            <w:tcW w:w="7326" w:type="dxa"/>
            <w:gridSpan w:val="2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auto"/>
              <w:textAlignment w:val="auto"/>
              <w:rPr>
                <w:rFonts w:hint="default" w:asciiTheme="minorEastAsia" w:hAnsiTheme="minorEastAsia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bCs/>
                <w:sz w:val="24"/>
                <w:szCs w:val="24"/>
              </w:rPr>
              <w:t>贵阳市工业投资有限公司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（下称“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  <w:lang w:val="en-US" w:eastAsia="zh-CN"/>
              </w:rPr>
              <w:t>贵阳工投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”）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  <w:lang w:val="en-US" w:eastAsia="zh-CN"/>
              </w:rPr>
              <w:t>与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贵州乌江能源投资有限公司（下称“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  <w:lang w:val="en-US" w:eastAsia="zh-CN"/>
              </w:rPr>
              <w:t>乌江能投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”）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  <w:lang w:val="en-US" w:eastAsia="zh-CN"/>
              </w:rPr>
              <w:t>签署协议，贵阳工投收购</w:t>
            </w:r>
            <w:r>
              <w:rPr>
                <w:rFonts w:hint="eastAsia" w:asciiTheme="minorEastAsia" w:hAnsiTheme="minorEastAsia" w:eastAsiaTheme="minorEastAsia"/>
                <w:bCs/>
                <w:sz w:val="24"/>
                <w:szCs w:val="24"/>
              </w:rPr>
              <w:t>贵州詹阳动力重工有限公司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（下称“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  <w:lang w:val="en-US" w:eastAsia="zh-CN"/>
              </w:rPr>
              <w:t>詹阳重工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”）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  <w:lang w:val="en-US" w:eastAsia="zh-CN"/>
              </w:rPr>
              <w:t>60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%股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  <w:lang w:val="en-US" w:eastAsia="zh-CN"/>
              </w:rPr>
              <w:t>份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  <w:lang w:eastAsia="zh-CN"/>
              </w:rPr>
              <w:t>，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  <w:lang w:val="en-US" w:eastAsia="zh-CN"/>
              </w:rPr>
              <w:t>詹阳重工主要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从事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  <w:lang w:val="en-US" w:eastAsia="zh-CN"/>
              </w:rPr>
              <w:t>挖掘机等产品的研发、生产和销售。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auto"/>
              <w:textAlignment w:val="auto"/>
              <w:rPr>
                <w:rFonts w:hint="eastAsia" w:asciiTheme="minorEastAsia" w:hAnsiTheme="minorEastAsia" w:eastAsia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交易前，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  <w:lang w:val="en-US" w:eastAsia="zh-CN"/>
              </w:rPr>
              <w:t>贵阳工投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、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  <w:lang w:val="en-US" w:eastAsia="zh-CN"/>
              </w:rPr>
              <w:t>乌江能投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分别持有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  <w:lang w:val="en-US" w:eastAsia="zh-CN"/>
              </w:rPr>
              <w:t>詹阳重工40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%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、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  <w:lang w:val="en-US" w:eastAsia="zh-CN"/>
              </w:rPr>
              <w:t>60</w:t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>%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的股份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  <w:lang w:eastAsia="zh-CN"/>
              </w:rPr>
              <w:t>，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  <w:lang w:val="en-US" w:eastAsia="zh-CN"/>
              </w:rPr>
              <w:t>共同控制詹阳重工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。交易后，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  <w:lang w:val="en-US" w:eastAsia="zh-CN"/>
              </w:rPr>
              <w:t>贵阳工投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将持有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  <w:lang w:val="en-US" w:eastAsia="zh-CN"/>
              </w:rPr>
              <w:t>詹阳重工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100%股份，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  <w:lang w:val="en-US" w:eastAsia="zh-CN"/>
              </w:rPr>
              <w:t>单独控制詹阳重工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  <w:jc w:val="center"/>
        </w:trPr>
        <w:tc>
          <w:tcPr>
            <w:tcW w:w="1539" w:type="dxa"/>
            <w:vMerge w:val="restart"/>
            <w:shd w:val="clear" w:color="auto" w:fill="D9D9D9"/>
          </w:tcPr>
          <w:p>
            <w:pPr>
              <w:spacing w:line="500" w:lineRule="exact"/>
              <w:rPr>
                <w:rFonts w:asciiTheme="minorEastAsia" w:hAnsiTheme="minorEastAsia" w:eastAsia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参与集中的经营者简介</w:t>
            </w:r>
          </w:p>
        </w:tc>
        <w:tc>
          <w:tcPr>
            <w:tcW w:w="1465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auto"/>
              <w:jc w:val="left"/>
              <w:textAlignment w:val="auto"/>
              <w:rPr>
                <w:rFonts w:asciiTheme="minorEastAsia" w:hAnsiTheme="minorEastAsia" w:eastAsia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1、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  <w:lang w:val="en-US" w:eastAsia="zh-CN"/>
              </w:rPr>
              <w:t>贵阳工投</w:t>
            </w:r>
          </w:p>
        </w:tc>
        <w:tc>
          <w:tcPr>
            <w:tcW w:w="5861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auto"/>
              <w:textAlignment w:val="auto"/>
              <w:rPr>
                <w:rFonts w:hint="eastAsia" w:asciiTheme="minorEastAsia" w:hAnsiTheme="minorEastAsia" w:eastAsiaTheme="minorEastAsia"/>
                <w:sz w:val="24"/>
                <w:szCs w:val="24"/>
              </w:rPr>
            </w:pPr>
            <w:bookmarkStart w:id="0" w:name="_Hlk131491723"/>
            <w:bookmarkStart w:id="1" w:name="_Hlk131492222"/>
            <w:r>
              <w:rPr>
                <w:rFonts w:hint="eastAsia" w:asciiTheme="minorEastAsia" w:hAnsiTheme="minorEastAsia" w:eastAsiaTheme="minorEastAsia"/>
                <w:sz w:val="24"/>
                <w:szCs w:val="24"/>
                <w:lang w:val="en-US" w:eastAsia="zh-CN"/>
              </w:rPr>
              <w:t>贵阳工投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于200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  <w:lang w:val="en-US" w:eastAsia="zh-CN"/>
              </w:rPr>
              <w:t>9年5月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1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  <w:lang w:val="en-US" w:eastAsia="zh-CN"/>
              </w:rPr>
              <w:t>5日在中国贵州省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成立，主要从事轮胎制造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  <w:lang w:eastAsia="zh-CN"/>
              </w:rPr>
              <w:t>、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  <w:lang w:val="en-US" w:eastAsia="zh-CN"/>
              </w:rPr>
              <w:t>工业自动化控制系统装置制造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等业务。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auto"/>
              <w:textAlignment w:val="auto"/>
              <w:rPr>
                <w:rFonts w:hint="default" w:asciiTheme="minorEastAsia" w:hAnsiTheme="minorEastAsia" w:eastAsia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  <w:lang w:val="en-US" w:eastAsia="zh-CN"/>
              </w:rPr>
              <w:t>其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最终控制人为</w:t>
            </w:r>
            <w:bookmarkEnd w:id="0"/>
            <w:r>
              <w:rPr>
                <w:rFonts w:hint="eastAsia" w:asciiTheme="minorEastAsia" w:hAnsiTheme="minorEastAsia" w:eastAsiaTheme="minorEastAsia"/>
                <w:sz w:val="24"/>
                <w:szCs w:val="24"/>
                <w:lang w:val="en-US" w:eastAsia="zh-CN"/>
              </w:rPr>
              <w:t>贵阳产业发展控股集团有限公司，主要从事</w:t>
            </w:r>
            <w:bookmarkEnd w:id="1"/>
            <w:r>
              <w:rPr>
                <w:rFonts w:hint="eastAsia" w:asciiTheme="minorEastAsia" w:hAnsiTheme="minorEastAsia" w:eastAsiaTheme="minorEastAsia"/>
                <w:sz w:val="24"/>
                <w:szCs w:val="24"/>
                <w:lang w:val="en-US" w:eastAsia="zh-CN"/>
              </w:rPr>
              <w:t>产业园区及建设、产业运营、产业投资、产业金融。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7" w:hRule="atLeast"/>
          <w:jc w:val="center"/>
        </w:trPr>
        <w:tc>
          <w:tcPr>
            <w:tcW w:w="1539" w:type="dxa"/>
            <w:vMerge w:val="continue"/>
            <w:shd w:val="clear" w:color="auto" w:fill="D9D9D9"/>
          </w:tcPr>
          <w:p>
            <w:pPr>
              <w:spacing w:line="500" w:lineRule="exact"/>
              <w:rPr>
                <w:rFonts w:asciiTheme="minorEastAsia" w:hAnsiTheme="minorEastAsia" w:eastAsiaTheme="minorEastAsia"/>
                <w:sz w:val="24"/>
                <w:szCs w:val="24"/>
              </w:rPr>
            </w:pPr>
          </w:p>
        </w:tc>
        <w:tc>
          <w:tcPr>
            <w:tcW w:w="1465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auto"/>
              <w:jc w:val="left"/>
              <w:textAlignment w:val="auto"/>
              <w:rPr>
                <w:rFonts w:hint="eastAsia" w:asciiTheme="minorEastAsia" w:hAnsiTheme="minorEastAsia" w:eastAsiaTheme="minorEastAsia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2、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  <w:lang w:val="en-US" w:eastAsia="zh-CN"/>
              </w:rPr>
              <w:t>詹阳重工</w:t>
            </w:r>
          </w:p>
        </w:tc>
        <w:tc>
          <w:tcPr>
            <w:tcW w:w="5861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auto"/>
              <w:textAlignment w:val="auto"/>
              <w:rPr>
                <w:rFonts w:hint="eastAsia" w:asciiTheme="minorEastAsia" w:hAnsiTheme="minorEastAsia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  <w:lang w:val="en-US" w:eastAsia="zh-CN"/>
              </w:rPr>
              <w:t>詹阳重工于2005年11年15日在中国贵州省成立，主要从事挖掘机等产品的研发、生产和销售。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auto"/>
              <w:textAlignment w:val="auto"/>
              <w:rPr>
                <w:rFonts w:hint="eastAsia" w:asciiTheme="minorEastAsia" w:hAnsiTheme="minorEastAsia" w:eastAsiaTheme="minorEastAsia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  <w:lang w:val="en-US" w:eastAsia="zh-CN"/>
              </w:rPr>
              <w:t>由贵阳工投和乌江能投共同控制，乌江能投的最终控制人为贵州乌江能源集团有限责任公司，开展电、气、管、网一体化投资等业务。</w:t>
            </w:r>
            <w:bookmarkStart w:id="2" w:name="_GoBack"/>
            <w:bookmarkEnd w:id="2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  <w:jc w:val="center"/>
        </w:trPr>
        <w:tc>
          <w:tcPr>
            <w:tcW w:w="1539" w:type="dxa"/>
            <w:vMerge w:val="restart"/>
            <w:shd w:val="clear" w:color="auto" w:fill="D9D9D9"/>
          </w:tcPr>
          <w:p>
            <w:pPr>
              <w:spacing w:line="500" w:lineRule="exact"/>
              <w:rPr>
                <w:rFonts w:asciiTheme="minorEastAsia" w:hAnsiTheme="minorEastAsia" w:eastAsia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7326" w:type="dxa"/>
            <w:gridSpan w:val="2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auto"/>
              <w:textAlignment w:val="auto"/>
              <w:rPr>
                <w:rFonts w:asciiTheme="minorEastAsia" w:hAnsiTheme="minorEastAsia" w:eastAsiaTheme="minorEastAsia"/>
                <w:sz w:val="24"/>
                <w:szCs w:val="24"/>
              </w:rPr>
            </w:pPr>
            <w:r>
              <w:rPr>
                <w:rFonts w:hint="eastAsia"/>
              </w:rPr>
              <w:sym w:font="Wingdings" w:char="00A8"/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 xml:space="preserve"> 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1、在同一相关市场，所有参与集中的经营者所占市场份额之和小于15%。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1539" w:type="dxa"/>
            <w:vMerge w:val="continue"/>
            <w:shd w:val="clear" w:color="auto" w:fill="D9D9D9"/>
          </w:tcPr>
          <w:p>
            <w:pPr>
              <w:spacing w:line="500" w:lineRule="exact"/>
              <w:rPr>
                <w:rFonts w:asciiTheme="minorEastAsia" w:hAnsiTheme="minorEastAsia" w:eastAsiaTheme="minorEastAsia"/>
                <w:sz w:val="24"/>
                <w:szCs w:val="24"/>
              </w:rPr>
            </w:pPr>
          </w:p>
        </w:tc>
        <w:tc>
          <w:tcPr>
            <w:tcW w:w="7326" w:type="dxa"/>
            <w:gridSpan w:val="2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auto"/>
              <w:textAlignment w:val="auto"/>
              <w:rPr>
                <w:rFonts w:asciiTheme="minorEastAsia" w:hAnsiTheme="minorEastAsia" w:eastAsiaTheme="minorEastAsia"/>
                <w:sz w:val="24"/>
                <w:szCs w:val="24"/>
              </w:rPr>
            </w:pPr>
            <w:r>
              <w:rPr>
                <w:rFonts w:hint="eastAsia"/>
              </w:rPr>
              <w:sym w:font="Wingdings" w:char="F0FE"/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 xml:space="preserve">  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2、存在上下游关系的参与集中的经营者，在上下游市场所占的市场份额均小于25%。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539" w:type="dxa"/>
            <w:vMerge w:val="continue"/>
            <w:shd w:val="clear" w:color="auto" w:fill="D9D9D9"/>
          </w:tcPr>
          <w:p>
            <w:pPr>
              <w:spacing w:line="500" w:lineRule="exact"/>
              <w:rPr>
                <w:rFonts w:asciiTheme="minorEastAsia" w:hAnsiTheme="minorEastAsia" w:eastAsiaTheme="minorEastAsia"/>
                <w:sz w:val="24"/>
                <w:szCs w:val="24"/>
              </w:rPr>
            </w:pPr>
          </w:p>
        </w:tc>
        <w:tc>
          <w:tcPr>
            <w:tcW w:w="7326" w:type="dxa"/>
            <w:gridSpan w:val="2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auto"/>
              <w:textAlignment w:val="auto"/>
              <w:rPr>
                <w:rFonts w:asciiTheme="minorEastAsia" w:hAnsiTheme="minorEastAsia" w:eastAsia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□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ab/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3、不在同一相关市场、也不存在上下游关系的参与集中的经营者，在与交易有关的每个市场所占的份额均小于25%。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  <w:jc w:val="center"/>
        </w:trPr>
        <w:tc>
          <w:tcPr>
            <w:tcW w:w="1539" w:type="dxa"/>
            <w:vMerge w:val="continue"/>
            <w:shd w:val="clear" w:color="auto" w:fill="D9D9D9"/>
          </w:tcPr>
          <w:p>
            <w:pPr>
              <w:spacing w:line="500" w:lineRule="exact"/>
              <w:rPr>
                <w:rFonts w:asciiTheme="minorEastAsia" w:hAnsiTheme="minorEastAsia" w:eastAsiaTheme="minorEastAsia"/>
                <w:sz w:val="24"/>
                <w:szCs w:val="24"/>
              </w:rPr>
            </w:pPr>
          </w:p>
        </w:tc>
        <w:tc>
          <w:tcPr>
            <w:tcW w:w="7326" w:type="dxa"/>
            <w:gridSpan w:val="2"/>
          </w:tcPr>
          <w:p>
            <w:pPr>
              <w:pStyle w:val="15"/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spacing w:line="240" w:lineRule="auto"/>
              <w:ind w:firstLineChars="0"/>
              <w:textAlignment w:val="auto"/>
              <w:rPr>
                <w:rFonts w:asciiTheme="minorEastAsia" w:hAnsiTheme="minorEastAsia" w:eastAsia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4、参与集中的经营者在中国境外设立合营企业，合营企业不在中国境内从事经济活动。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  <w:jc w:val="center"/>
        </w:trPr>
        <w:tc>
          <w:tcPr>
            <w:tcW w:w="1539" w:type="dxa"/>
            <w:vMerge w:val="continue"/>
            <w:shd w:val="clear" w:color="auto" w:fill="D9D9D9"/>
          </w:tcPr>
          <w:p>
            <w:pPr>
              <w:spacing w:line="500" w:lineRule="exact"/>
              <w:rPr>
                <w:rFonts w:asciiTheme="minorEastAsia" w:hAnsiTheme="minorEastAsia" w:eastAsiaTheme="minorEastAsia"/>
                <w:sz w:val="24"/>
                <w:szCs w:val="24"/>
              </w:rPr>
            </w:pPr>
          </w:p>
        </w:tc>
        <w:tc>
          <w:tcPr>
            <w:tcW w:w="7326" w:type="dxa"/>
            <w:gridSpan w:val="2"/>
          </w:tcPr>
          <w:p>
            <w:pPr>
              <w:pStyle w:val="15"/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spacing w:line="240" w:lineRule="auto"/>
              <w:ind w:firstLineChars="0"/>
              <w:textAlignment w:val="auto"/>
              <w:rPr>
                <w:rFonts w:asciiTheme="minorEastAsia" w:hAnsiTheme="minorEastAsia" w:eastAsia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5、参与集中的经营者收购境外企业股权或资产的，该境外企业不在中国境内从事经济活动。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  <w:jc w:val="center"/>
        </w:trPr>
        <w:tc>
          <w:tcPr>
            <w:tcW w:w="1539" w:type="dxa"/>
            <w:vMerge w:val="continue"/>
            <w:shd w:val="clear" w:color="auto" w:fill="D9D9D9"/>
          </w:tcPr>
          <w:p>
            <w:pPr>
              <w:spacing w:line="500" w:lineRule="exact"/>
              <w:rPr>
                <w:rFonts w:asciiTheme="minorEastAsia" w:hAnsiTheme="minorEastAsia" w:eastAsiaTheme="minorEastAsia"/>
                <w:sz w:val="24"/>
                <w:szCs w:val="24"/>
              </w:rPr>
            </w:pPr>
          </w:p>
        </w:tc>
        <w:tc>
          <w:tcPr>
            <w:tcW w:w="7326" w:type="dxa"/>
            <w:gridSpan w:val="2"/>
          </w:tcPr>
          <w:p>
            <w:pPr>
              <w:pStyle w:val="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spacing w:line="240" w:lineRule="auto"/>
              <w:ind w:leftChars="0"/>
              <w:textAlignment w:val="auto"/>
              <w:rPr>
                <w:rFonts w:asciiTheme="minorEastAsia" w:hAnsiTheme="minorEastAsia" w:eastAsiaTheme="minorEastAsia"/>
                <w:sz w:val="24"/>
                <w:szCs w:val="24"/>
              </w:rPr>
            </w:pPr>
            <w:r>
              <w:rPr>
                <w:rFonts w:hint="eastAsia"/>
              </w:rPr>
              <w:sym w:font="Wingdings" w:char="F0FE"/>
            </w:r>
            <w:r>
              <w:rPr>
                <w:rFonts w:asciiTheme="minorEastAsia" w:hAnsiTheme="minorEastAsia" w:eastAsiaTheme="minorEastAsia"/>
                <w:sz w:val="24"/>
                <w:szCs w:val="24"/>
              </w:rPr>
              <w:t xml:space="preserve"> 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6、由两个以上的经营者共同控制的合营企业，通过集中被其中一个或一个以上经营者控制。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9" w:type="dxa"/>
            <w:shd w:val="clear" w:color="auto" w:fill="D9D9D9"/>
          </w:tcPr>
          <w:p>
            <w:pPr>
              <w:spacing w:line="500" w:lineRule="exact"/>
              <w:rPr>
                <w:rFonts w:asciiTheme="minorEastAsia" w:hAnsiTheme="minorEastAsia" w:eastAsia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备注</w:t>
            </w:r>
          </w:p>
        </w:tc>
        <w:tc>
          <w:tcPr>
            <w:tcW w:w="7326" w:type="dxa"/>
            <w:gridSpan w:val="2"/>
          </w:tcPr>
          <w:p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both"/>
              <w:textAlignment w:val="auto"/>
              <w:rPr>
                <w:rFonts w:hint="eastAsia" w:asciiTheme="minorEastAsia" w:hAnsiTheme="minorEastAsia" w:eastAsiaTheme="minorEastAsia"/>
                <w:b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b/>
                <w:bCs/>
                <w:sz w:val="24"/>
                <w:szCs w:val="24"/>
              </w:rPr>
              <w:t>纵向关联：</w:t>
            </w:r>
          </w:p>
          <w:tbl>
            <w:tblPr>
              <w:tblStyle w:val="8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171"/>
              <w:gridCol w:w="1807"/>
              <w:gridCol w:w="3122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171" w:type="dxa"/>
                  <w:noWrap w:val="0"/>
                  <w:vAlign w:val="top"/>
                </w:tcPr>
                <w:p>
                  <w:pPr>
                    <w:keepNext w:val="0"/>
                    <w:keepLines w:val="0"/>
                    <w:pageBreakBefore w:val="0"/>
                    <w:widowControl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 w:val="0"/>
                    <w:snapToGrid w:val="0"/>
                    <w:spacing w:line="340" w:lineRule="exact"/>
                    <w:jc w:val="left"/>
                    <w:textAlignment w:val="auto"/>
                    <w:rPr>
                      <w:rFonts w:hint="eastAsia" w:cs="Simplified Arabic" w:asciiTheme="minorEastAsia" w:hAnsiTheme="minorEastAsia" w:eastAsiaTheme="minorEastAsia"/>
                      <w:kern w:val="2"/>
                      <w:sz w:val="24"/>
                      <w:szCs w:val="24"/>
                      <w:lang w:val="en-US" w:eastAsia="zh-CN" w:bidi="ar-SA"/>
                    </w:rPr>
                  </w:pPr>
                  <w:r>
                    <w:rPr>
                      <w:rFonts w:hint="eastAsia" w:cs="Simplified Arabic" w:asciiTheme="minorEastAsia" w:hAnsiTheme="minorEastAsia" w:eastAsiaTheme="minorEastAsia"/>
                      <w:kern w:val="2"/>
                      <w:sz w:val="24"/>
                      <w:szCs w:val="24"/>
                      <w:lang w:val="en-US" w:eastAsia="zh-CN" w:bidi="ar-SA"/>
                    </w:rPr>
                    <w:t>相关商品市场</w:t>
                  </w:r>
                </w:p>
              </w:tc>
              <w:tc>
                <w:tcPr>
                  <w:tcW w:w="1807" w:type="dxa"/>
                  <w:noWrap w:val="0"/>
                  <w:vAlign w:val="top"/>
                </w:tcPr>
                <w:p>
                  <w:pPr>
                    <w:keepNext w:val="0"/>
                    <w:keepLines w:val="0"/>
                    <w:pageBreakBefore w:val="0"/>
                    <w:widowControl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 w:val="0"/>
                    <w:snapToGrid w:val="0"/>
                    <w:spacing w:line="340" w:lineRule="exact"/>
                    <w:jc w:val="left"/>
                    <w:textAlignment w:val="auto"/>
                    <w:rPr>
                      <w:rFonts w:hint="eastAsia" w:cs="Simplified Arabic" w:asciiTheme="minorEastAsia" w:hAnsiTheme="minorEastAsia" w:eastAsiaTheme="minorEastAsia"/>
                      <w:kern w:val="2"/>
                      <w:sz w:val="24"/>
                      <w:szCs w:val="24"/>
                      <w:lang w:val="en-US" w:eastAsia="zh-CN" w:bidi="ar-SA"/>
                    </w:rPr>
                  </w:pPr>
                  <w:r>
                    <w:rPr>
                      <w:rFonts w:hint="eastAsia" w:cs="Simplified Arabic" w:asciiTheme="minorEastAsia" w:hAnsiTheme="minorEastAsia" w:eastAsiaTheme="minorEastAsia"/>
                      <w:kern w:val="2"/>
                      <w:sz w:val="24"/>
                      <w:szCs w:val="24"/>
                      <w:lang w:val="en-US" w:eastAsia="zh-CN" w:bidi="ar-SA"/>
                    </w:rPr>
                    <w:t>相关地域市场</w:t>
                  </w:r>
                </w:p>
              </w:tc>
              <w:tc>
                <w:tcPr>
                  <w:tcW w:w="3122" w:type="dxa"/>
                  <w:noWrap w:val="0"/>
                  <w:vAlign w:val="top"/>
                </w:tcPr>
                <w:p>
                  <w:pPr>
                    <w:keepNext w:val="0"/>
                    <w:keepLines w:val="0"/>
                    <w:pageBreakBefore w:val="0"/>
                    <w:widowControl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 w:val="0"/>
                    <w:snapToGrid w:val="0"/>
                    <w:spacing w:line="340" w:lineRule="exact"/>
                    <w:ind w:firstLine="480" w:firstLineChars="200"/>
                    <w:jc w:val="left"/>
                    <w:textAlignment w:val="auto"/>
                    <w:rPr>
                      <w:rFonts w:hint="eastAsia" w:cs="Simplified Arabic" w:asciiTheme="minorEastAsia" w:hAnsiTheme="minorEastAsia" w:eastAsiaTheme="minorEastAsia"/>
                      <w:kern w:val="2"/>
                      <w:sz w:val="24"/>
                      <w:szCs w:val="24"/>
                      <w:lang w:val="en-US" w:eastAsia="zh-CN" w:bidi="ar-SA"/>
                    </w:rPr>
                  </w:pPr>
                  <w:r>
                    <w:rPr>
                      <w:rFonts w:hint="eastAsia" w:cs="Simplified Arabic" w:asciiTheme="minorEastAsia" w:hAnsiTheme="minorEastAsia" w:eastAsiaTheme="minorEastAsia"/>
                      <w:kern w:val="2"/>
                      <w:sz w:val="24"/>
                      <w:szCs w:val="24"/>
                      <w:lang w:val="en-US" w:eastAsia="zh-CN" w:bidi="ar-SA"/>
                    </w:rPr>
                    <w:t>2022年市场份额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171" w:type="dxa"/>
                  <w:noWrap w:val="0"/>
                  <w:vAlign w:val="top"/>
                </w:tcPr>
                <w:p>
                  <w:pPr>
                    <w:keepNext w:val="0"/>
                    <w:keepLines w:val="0"/>
                    <w:pageBreakBefore w:val="0"/>
                    <w:widowControl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 w:val="0"/>
                    <w:snapToGrid w:val="0"/>
                    <w:spacing w:line="340" w:lineRule="exact"/>
                    <w:jc w:val="left"/>
                    <w:textAlignment w:val="auto"/>
                    <w:rPr>
                      <w:rFonts w:hint="eastAsia" w:cs="Simplified Arabic" w:asciiTheme="minorEastAsia" w:hAnsiTheme="minorEastAsia" w:eastAsiaTheme="minorEastAsia"/>
                      <w:kern w:val="2"/>
                      <w:sz w:val="24"/>
                      <w:szCs w:val="24"/>
                      <w:lang w:val="en-US" w:eastAsia="zh-CN" w:bidi="ar-SA"/>
                    </w:rPr>
                  </w:pPr>
                  <w:r>
                    <w:rPr>
                      <w:rFonts w:hint="eastAsia" w:cs="Simplified Arabic" w:asciiTheme="minorEastAsia" w:hAnsiTheme="minorEastAsia" w:eastAsiaTheme="minorEastAsia"/>
                      <w:kern w:val="2"/>
                      <w:sz w:val="24"/>
                      <w:szCs w:val="24"/>
                      <w:lang w:val="en-US" w:eastAsia="zh-CN" w:bidi="ar-SA"/>
                    </w:rPr>
                    <w:t>上游：轮胎市场</w:t>
                  </w:r>
                </w:p>
                <w:p>
                  <w:pPr>
                    <w:keepNext w:val="0"/>
                    <w:keepLines w:val="0"/>
                    <w:pageBreakBefore w:val="0"/>
                    <w:widowControl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 w:val="0"/>
                    <w:snapToGrid w:val="0"/>
                    <w:spacing w:line="340" w:lineRule="exact"/>
                    <w:jc w:val="left"/>
                    <w:textAlignment w:val="auto"/>
                    <w:rPr>
                      <w:rFonts w:hint="eastAsia" w:cs="Simplified Arabic" w:asciiTheme="minorEastAsia" w:hAnsiTheme="minorEastAsia" w:eastAsiaTheme="minorEastAsia"/>
                      <w:kern w:val="2"/>
                      <w:sz w:val="24"/>
                      <w:szCs w:val="24"/>
                      <w:lang w:val="en-US" w:eastAsia="zh-CN" w:bidi="ar-SA"/>
                    </w:rPr>
                  </w:pPr>
                  <w:r>
                    <w:rPr>
                      <w:rFonts w:hint="eastAsia" w:cs="Simplified Arabic" w:asciiTheme="minorEastAsia" w:hAnsiTheme="minorEastAsia" w:eastAsiaTheme="minorEastAsia"/>
                      <w:kern w:val="2"/>
                      <w:sz w:val="24"/>
                      <w:szCs w:val="24"/>
                      <w:lang w:val="en-US" w:eastAsia="zh-CN" w:bidi="ar-SA"/>
                    </w:rPr>
                    <w:t>下游：挖掘机市场</w:t>
                  </w:r>
                </w:p>
              </w:tc>
              <w:tc>
                <w:tcPr>
                  <w:tcW w:w="1807" w:type="dxa"/>
                  <w:noWrap w:val="0"/>
                  <w:vAlign w:val="top"/>
                </w:tcPr>
                <w:p>
                  <w:pPr>
                    <w:keepNext w:val="0"/>
                    <w:keepLines w:val="0"/>
                    <w:pageBreakBefore w:val="0"/>
                    <w:widowControl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 w:val="0"/>
                    <w:snapToGrid w:val="0"/>
                    <w:spacing w:line="340" w:lineRule="exact"/>
                    <w:jc w:val="left"/>
                    <w:textAlignment w:val="auto"/>
                    <w:rPr>
                      <w:rFonts w:hint="eastAsia" w:cs="Simplified Arabic" w:asciiTheme="minorEastAsia" w:hAnsiTheme="minorEastAsia" w:eastAsiaTheme="minorEastAsia"/>
                      <w:kern w:val="2"/>
                      <w:sz w:val="24"/>
                      <w:szCs w:val="24"/>
                      <w:lang w:val="en-US" w:eastAsia="zh-CN" w:bidi="ar-SA"/>
                    </w:rPr>
                  </w:pPr>
                  <w:r>
                    <w:rPr>
                      <w:rFonts w:hint="eastAsia" w:cs="Simplified Arabic" w:asciiTheme="minorEastAsia" w:hAnsiTheme="minorEastAsia" w:eastAsiaTheme="minorEastAsia"/>
                      <w:kern w:val="2"/>
                      <w:sz w:val="24"/>
                      <w:szCs w:val="24"/>
                      <w:lang w:val="en-US" w:eastAsia="zh-CN" w:bidi="ar-SA"/>
                    </w:rPr>
                    <w:t>上游：中国境内</w:t>
                  </w:r>
                </w:p>
                <w:p>
                  <w:pPr>
                    <w:keepNext w:val="0"/>
                    <w:keepLines w:val="0"/>
                    <w:pageBreakBefore w:val="0"/>
                    <w:widowControl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 w:val="0"/>
                    <w:snapToGrid w:val="0"/>
                    <w:spacing w:line="340" w:lineRule="exact"/>
                    <w:jc w:val="left"/>
                    <w:textAlignment w:val="auto"/>
                    <w:rPr>
                      <w:rFonts w:hint="eastAsia" w:cs="Simplified Arabic" w:asciiTheme="minorEastAsia" w:hAnsiTheme="minorEastAsia" w:eastAsiaTheme="minorEastAsia"/>
                      <w:kern w:val="2"/>
                      <w:sz w:val="24"/>
                      <w:szCs w:val="24"/>
                      <w:lang w:val="en-US" w:eastAsia="zh-CN" w:bidi="ar-SA"/>
                    </w:rPr>
                  </w:pPr>
                  <w:r>
                    <w:rPr>
                      <w:rFonts w:hint="eastAsia" w:cs="Simplified Arabic" w:asciiTheme="minorEastAsia" w:hAnsiTheme="minorEastAsia" w:eastAsiaTheme="minorEastAsia"/>
                      <w:kern w:val="2"/>
                      <w:sz w:val="24"/>
                      <w:szCs w:val="24"/>
                      <w:lang w:val="en-US" w:eastAsia="zh-CN" w:bidi="ar-SA"/>
                    </w:rPr>
                    <w:t>下游：中国境内</w:t>
                  </w:r>
                </w:p>
              </w:tc>
              <w:tc>
                <w:tcPr>
                  <w:tcW w:w="3122" w:type="dxa"/>
                  <w:noWrap w:val="0"/>
                  <w:vAlign w:val="top"/>
                </w:tcPr>
                <w:p>
                  <w:pPr>
                    <w:keepNext w:val="0"/>
                    <w:keepLines w:val="0"/>
                    <w:pageBreakBefore w:val="0"/>
                    <w:widowControl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 w:val="0"/>
                    <w:snapToGrid w:val="0"/>
                    <w:spacing w:line="340" w:lineRule="exact"/>
                    <w:jc w:val="left"/>
                    <w:textAlignment w:val="auto"/>
                    <w:rPr>
                      <w:rFonts w:hint="eastAsia" w:cs="Simplified Arabic" w:asciiTheme="minorEastAsia" w:hAnsiTheme="minorEastAsia" w:eastAsiaTheme="minorEastAsia"/>
                      <w:kern w:val="2"/>
                      <w:sz w:val="24"/>
                      <w:szCs w:val="24"/>
                      <w:lang w:val="en-US" w:eastAsia="zh-CN" w:bidi="ar-SA"/>
                    </w:rPr>
                  </w:pPr>
                  <w:r>
                    <w:rPr>
                      <w:rFonts w:hint="eastAsia" w:cs="Simplified Arabic" w:asciiTheme="minorEastAsia" w:hAnsiTheme="minorEastAsia" w:eastAsiaTheme="minorEastAsia"/>
                      <w:kern w:val="2"/>
                      <w:sz w:val="24"/>
                      <w:szCs w:val="24"/>
                      <w:lang w:val="en-US" w:eastAsia="zh-CN" w:bidi="ar-SA"/>
                    </w:rPr>
                    <w:t>上游：中国境内轮胎市场</w:t>
                  </w:r>
                </w:p>
                <w:p>
                  <w:pPr>
                    <w:pStyle w:val="2"/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 w:val="0"/>
                    <w:snapToGrid w:val="0"/>
                    <w:spacing w:after="0" w:line="240" w:lineRule="auto"/>
                    <w:jc w:val="left"/>
                    <w:textAlignment w:val="auto"/>
                    <w:rPr>
                      <w:rFonts w:hint="eastAsia" w:cs="Simplified Arabic" w:asciiTheme="minorEastAsia" w:hAnsiTheme="minorEastAsia" w:eastAsiaTheme="minorEastAsia"/>
                      <w:kern w:val="2"/>
                      <w:sz w:val="24"/>
                      <w:szCs w:val="24"/>
                      <w:lang w:val="en-US" w:eastAsia="en-GB" w:bidi="ar-SA"/>
                    </w:rPr>
                  </w:pPr>
                  <w:r>
                    <w:rPr>
                      <w:rFonts w:hint="eastAsia" w:cs="Simplified Arabic" w:asciiTheme="minorEastAsia" w:hAnsiTheme="minorEastAsia" w:eastAsiaTheme="minorEastAsia"/>
                      <w:kern w:val="2"/>
                      <w:sz w:val="24"/>
                      <w:szCs w:val="24"/>
                      <w:lang w:val="en-US" w:eastAsia="zh-CN" w:bidi="ar-SA"/>
                    </w:rPr>
                    <w:t>贵阳工投</w:t>
                  </w:r>
                  <w:r>
                    <w:rPr>
                      <w:rFonts w:hint="eastAsia" w:cs="Simplified Arabic" w:asciiTheme="minorEastAsia" w:hAnsiTheme="minorEastAsia" w:eastAsiaTheme="minorEastAsia"/>
                      <w:kern w:val="2"/>
                      <w:sz w:val="24"/>
                      <w:szCs w:val="24"/>
                      <w:lang w:val="en-US" w:eastAsia="en-GB" w:bidi="ar-SA"/>
                    </w:rPr>
                    <w:t>：</w:t>
                  </w:r>
                  <w:r>
                    <w:rPr>
                      <w:rFonts w:hint="eastAsia" w:cs="Simplified Arabic" w:asciiTheme="minorEastAsia" w:hAnsiTheme="minorEastAsia" w:eastAsiaTheme="minorEastAsia"/>
                      <w:kern w:val="2"/>
                      <w:sz w:val="24"/>
                      <w:szCs w:val="24"/>
                      <w:lang w:val="en-US" w:eastAsia="zh-CN" w:bidi="ar-SA"/>
                    </w:rPr>
                    <w:t>0</w:t>
                  </w:r>
                  <w:r>
                    <w:rPr>
                      <w:rFonts w:hint="eastAsia" w:cs="Simplified Arabic" w:asciiTheme="minorEastAsia" w:hAnsiTheme="minorEastAsia" w:eastAsiaTheme="minorEastAsia"/>
                      <w:kern w:val="2"/>
                      <w:sz w:val="24"/>
                      <w:szCs w:val="24"/>
                      <w:lang w:val="en-US" w:eastAsia="en-GB" w:bidi="ar-SA"/>
                    </w:rPr>
                    <w:t>-</w:t>
                  </w:r>
                  <w:r>
                    <w:rPr>
                      <w:rFonts w:hint="eastAsia" w:cs="Simplified Arabic" w:asciiTheme="minorEastAsia" w:hAnsiTheme="minorEastAsia" w:eastAsiaTheme="minorEastAsia"/>
                      <w:kern w:val="2"/>
                      <w:sz w:val="24"/>
                      <w:szCs w:val="24"/>
                      <w:lang w:val="en-US" w:eastAsia="zh-CN" w:bidi="ar-SA"/>
                    </w:rPr>
                    <w:t>5</w:t>
                  </w:r>
                  <w:r>
                    <w:rPr>
                      <w:rFonts w:hint="eastAsia" w:cs="Simplified Arabic" w:asciiTheme="minorEastAsia" w:hAnsiTheme="minorEastAsia" w:eastAsiaTheme="minorEastAsia"/>
                      <w:kern w:val="2"/>
                      <w:sz w:val="24"/>
                      <w:szCs w:val="24"/>
                      <w:lang w:val="en-US" w:eastAsia="en-GB" w:bidi="ar-SA"/>
                    </w:rPr>
                    <w:t>%</w:t>
                  </w:r>
                </w:p>
                <w:p>
                  <w:pPr>
                    <w:keepNext w:val="0"/>
                    <w:keepLines w:val="0"/>
                    <w:pageBreakBefore w:val="0"/>
                    <w:widowControl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 w:val="0"/>
                    <w:snapToGrid w:val="0"/>
                    <w:spacing w:line="340" w:lineRule="exact"/>
                    <w:jc w:val="left"/>
                    <w:textAlignment w:val="auto"/>
                    <w:rPr>
                      <w:rFonts w:hint="eastAsia" w:cs="Simplified Arabic" w:asciiTheme="minorEastAsia" w:hAnsiTheme="minorEastAsia" w:eastAsiaTheme="minorEastAsia"/>
                      <w:kern w:val="2"/>
                      <w:sz w:val="24"/>
                      <w:szCs w:val="24"/>
                      <w:lang w:val="en-US" w:eastAsia="zh-CN" w:bidi="ar-SA"/>
                    </w:rPr>
                  </w:pPr>
                  <w:r>
                    <w:rPr>
                      <w:rFonts w:hint="eastAsia" w:cs="Simplified Arabic" w:asciiTheme="minorEastAsia" w:hAnsiTheme="minorEastAsia" w:eastAsiaTheme="minorEastAsia"/>
                      <w:kern w:val="2"/>
                      <w:sz w:val="24"/>
                      <w:szCs w:val="24"/>
                      <w:lang w:val="en-US" w:eastAsia="zh-CN" w:bidi="ar-SA"/>
                    </w:rPr>
                    <w:t>下游：中国境内挖掘机市场</w:t>
                  </w:r>
                </w:p>
                <w:p>
                  <w:pPr>
                    <w:pStyle w:val="2"/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 w:val="0"/>
                    <w:snapToGrid w:val="0"/>
                    <w:spacing w:after="0" w:line="240" w:lineRule="auto"/>
                    <w:jc w:val="left"/>
                    <w:textAlignment w:val="auto"/>
                    <w:rPr>
                      <w:rFonts w:hint="eastAsia" w:cs="Simplified Arabic" w:asciiTheme="minorEastAsia" w:hAnsiTheme="minorEastAsia" w:eastAsiaTheme="minorEastAsia"/>
                      <w:kern w:val="2"/>
                      <w:sz w:val="24"/>
                      <w:szCs w:val="24"/>
                      <w:lang w:val="en-US" w:eastAsia="zh-CN" w:bidi="ar-SA"/>
                    </w:rPr>
                  </w:pPr>
                  <w:r>
                    <w:rPr>
                      <w:rFonts w:hint="eastAsia" w:cs="Simplified Arabic" w:asciiTheme="minorEastAsia" w:hAnsiTheme="minorEastAsia" w:eastAsiaTheme="minorEastAsia"/>
                      <w:kern w:val="2"/>
                      <w:sz w:val="24"/>
                      <w:szCs w:val="24"/>
                      <w:lang w:val="en-US" w:eastAsia="zh-CN" w:bidi="ar-SA"/>
                    </w:rPr>
                    <w:t>詹阳重工</w:t>
                  </w:r>
                  <w:r>
                    <w:rPr>
                      <w:rFonts w:hint="eastAsia" w:cs="Simplified Arabic" w:asciiTheme="minorEastAsia" w:hAnsiTheme="minorEastAsia" w:eastAsiaTheme="minorEastAsia"/>
                      <w:kern w:val="2"/>
                      <w:sz w:val="24"/>
                      <w:szCs w:val="24"/>
                      <w:lang w:val="en-US" w:eastAsia="en-GB" w:bidi="ar-SA"/>
                    </w:rPr>
                    <w:t>:</w:t>
                  </w:r>
                  <w:r>
                    <w:rPr>
                      <w:rFonts w:hint="eastAsia" w:cs="Simplified Arabic" w:asciiTheme="minorEastAsia" w:hAnsiTheme="minorEastAsia" w:eastAsiaTheme="minorEastAsia"/>
                      <w:kern w:val="2"/>
                      <w:sz w:val="24"/>
                      <w:szCs w:val="24"/>
                      <w:lang w:val="en-US" w:eastAsia="zh-CN" w:bidi="ar-SA"/>
                    </w:rPr>
                    <w:t>0</w:t>
                  </w:r>
                  <w:r>
                    <w:rPr>
                      <w:rFonts w:hint="eastAsia" w:cs="Simplified Arabic" w:asciiTheme="minorEastAsia" w:hAnsiTheme="minorEastAsia" w:eastAsiaTheme="minorEastAsia"/>
                      <w:kern w:val="2"/>
                      <w:sz w:val="24"/>
                      <w:szCs w:val="24"/>
                      <w:lang w:val="en-US" w:eastAsia="en-GB" w:bidi="ar-SA"/>
                    </w:rPr>
                    <w:t>-</w:t>
                  </w:r>
                  <w:r>
                    <w:rPr>
                      <w:rFonts w:hint="eastAsia" w:cs="Simplified Arabic" w:asciiTheme="minorEastAsia" w:hAnsiTheme="minorEastAsia" w:eastAsiaTheme="minorEastAsia"/>
                      <w:kern w:val="2"/>
                      <w:sz w:val="24"/>
                      <w:szCs w:val="24"/>
                      <w:lang w:val="en-US" w:eastAsia="zh-CN" w:bidi="ar-SA"/>
                    </w:rPr>
                    <w:t>5</w:t>
                  </w:r>
                  <w:r>
                    <w:rPr>
                      <w:rFonts w:hint="eastAsia" w:cs="Simplified Arabic" w:asciiTheme="minorEastAsia" w:hAnsiTheme="minorEastAsia" w:eastAsiaTheme="minorEastAsia"/>
                      <w:kern w:val="2"/>
                      <w:sz w:val="24"/>
                      <w:szCs w:val="24"/>
                      <w:lang w:val="en-US" w:eastAsia="en-GB" w:bidi="ar-SA"/>
                    </w:rPr>
                    <w:t>%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171" w:type="dxa"/>
                  <w:noWrap w:val="0"/>
                  <w:vAlign w:val="top"/>
                </w:tcPr>
                <w:p>
                  <w:pPr>
                    <w:keepNext w:val="0"/>
                    <w:keepLines w:val="0"/>
                    <w:pageBreakBefore w:val="0"/>
                    <w:widowControl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 w:val="0"/>
                    <w:snapToGrid w:val="0"/>
                    <w:spacing w:line="340" w:lineRule="exact"/>
                    <w:jc w:val="left"/>
                    <w:textAlignment w:val="auto"/>
                    <w:rPr>
                      <w:rFonts w:hint="eastAsia" w:cs="Simplified Arabic" w:asciiTheme="minorEastAsia" w:hAnsiTheme="minorEastAsia" w:eastAsiaTheme="minorEastAsia"/>
                      <w:kern w:val="2"/>
                      <w:sz w:val="24"/>
                      <w:szCs w:val="24"/>
                      <w:lang w:val="en-US" w:eastAsia="zh-CN" w:bidi="ar-SA"/>
                    </w:rPr>
                  </w:pPr>
                  <w:r>
                    <w:rPr>
                      <w:rFonts w:hint="eastAsia" w:cs="Simplified Arabic" w:asciiTheme="minorEastAsia" w:hAnsiTheme="minorEastAsia" w:eastAsiaTheme="minorEastAsia"/>
                      <w:kern w:val="2"/>
                      <w:sz w:val="24"/>
                      <w:szCs w:val="24"/>
                      <w:lang w:val="en-US" w:eastAsia="zh-CN" w:bidi="ar-SA"/>
                    </w:rPr>
                    <w:t>上游：工业自动化控制系统装置市场</w:t>
                  </w:r>
                </w:p>
                <w:p>
                  <w:pPr>
                    <w:keepNext w:val="0"/>
                    <w:keepLines w:val="0"/>
                    <w:pageBreakBefore w:val="0"/>
                    <w:widowControl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 w:val="0"/>
                    <w:snapToGrid w:val="0"/>
                    <w:spacing w:line="340" w:lineRule="exact"/>
                    <w:jc w:val="left"/>
                    <w:textAlignment w:val="auto"/>
                    <w:rPr>
                      <w:rFonts w:hint="default" w:cs="Simplified Arabic" w:asciiTheme="minorEastAsia" w:hAnsiTheme="minorEastAsia" w:eastAsiaTheme="minorEastAsia"/>
                      <w:kern w:val="2"/>
                      <w:sz w:val="24"/>
                      <w:szCs w:val="24"/>
                      <w:lang w:val="en-US" w:eastAsia="zh-CN" w:bidi="ar-SA"/>
                    </w:rPr>
                  </w:pPr>
                  <w:r>
                    <w:rPr>
                      <w:rFonts w:hint="eastAsia" w:cs="Simplified Arabic" w:asciiTheme="minorEastAsia" w:hAnsiTheme="minorEastAsia" w:eastAsiaTheme="minorEastAsia"/>
                      <w:kern w:val="2"/>
                      <w:sz w:val="24"/>
                      <w:szCs w:val="24"/>
                      <w:lang w:val="en-US" w:eastAsia="zh-CN" w:bidi="ar-SA"/>
                    </w:rPr>
                    <w:t>下游：挖掘机市场</w:t>
                  </w:r>
                </w:p>
              </w:tc>
              <w:tc>
                <w:tcPr>
                  <w:tcW w:w="1807" w:type="dxa"/>
                  <w:noWrap w:val="0"/>
                  <w:vAlign w:val="top"/>
                </w:tcPr>
                <w:p>
                  <w:pPr>
                    <w:keepNext w:val="0"/>
                    <w:keepLines w:val="0"/>
                    <w:pageBreakBefore w:val="0"/>
                    <w:widowControl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 w:val="0"/>
                    <w:snapToGrid w:val="0"/>
                    <w:spacing w:line="340" w:lineRule="exact"/>
                    <w:jc w:val="left"/>
                    <w:textAlignment w:val="auto"/>
                    <w:rPr>
                      <w:rFonts w:hint="eastAsia" w:cs="Simplified Arabic" w:asciiTheme="minorEastAsia" w:hAnsiTheme="minorEastAsia" w:eastAsiaTheme="minorEastAsia"/>
                      <w:kern w:val="2"/>
                      <w:sz w:val="24"/>
                      <w:szCs w:val="24"/>
                      <w:lang w:val="en-US" w:eastAsia="zh-CN" w:bidi="ar-SA"/>
                    </w:rPr>
                  </w:pPr>
                  <w:r>
                    <w:rPr>
                      <w:rFonts w:hint="eastAsia" w:cs="Simplified Arabic" w:asciiTheme="minorEastAsia" w:hAnsiTheme="minorEastAsia" w:eastAsiaTheme="minorEastAsia"/>
                      <w:kern w:val="2"/>
                      <w:sz w:val="24"/>
                      <w:szCs w:val="24"/>
                      <w:lang w:val="en-US" w:eastAsia="zh-CN" w:bidi="ar-SA"/>
                    </w:rPr>
                    <w:t>上游：中国境内下游：中国境内</w:t>
                  </w:r>
                </w:p>
              </w:tc>
              <w:tc>
                <w:tcPr>
                  <w:tcW w:w="3122" w:type="dxa"/>
                  <w:noWrap w:val="0"/>
                  <w:vAlign w:val="top"/>
                </w:tcPr>
                <w:p>
                  <w:pPr>
                    <w:keepNext w:val="0"/>
                    <w:keepLines w:val="0"/>
                    <w:pageBreakBefore w:val="0"/>
                    <w:widowControl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 w:val="0"/>
                    <w:snapToGrid w:val="0"/>
                    <w:spacing w:line="340" w:lineRule="exact"/>
                    <w:jc w:val="left"/>
                    <w:textAlignment w:val="auto"/>
                    <w:rPr>
                      <w:rFonts w:hint="eastAsia" w:cs="Simplified Arabic" w:asciiTheme="minorEastAsia" w:hAnsiTheme="minorEastAsia" w:eastAsiaTheme="minorEastAsia"/>
                      <w:kern w:val="2"/>
                      <w:sz w:val="24"/>
                      <w:szCs w:val="24"/>
                      <w:lang w:val="en-US" w:eastAsia="zh-CN" w:bidi="ar-SA"/>
                    </w:rPr>
                  </w:pPr>
                  <w:r>
                    <w:rPr>
                      <w:rFonts w:hint="eastAsia" w:cs="Simplified Arabic" w:asciiTheme="minorEastAsia" w:hAnsiTheme="minorEastAsia" w:eastAsiaTheme="minorEastAsia"/>
                      <w:kern w:val="2"/>
                      <w:sz w:val="24"/>
                      <w:szCs w:val="24"/>
                      <w:lang w:val="en-US" w:eastAsia="zh-CN" w:bidi="ar-SA"/>
                    </w:rPr>
                    <w:t>上游：中国境内工业自动化控制系统装置市场</w:t>
                  </w:r>
                </w:p>
                <w:p>
                  <w:pPr>
                    <w:pStyle w:val="2"/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 w:val="0"/>
                    <w:snapToGrid w:val="0"/>
                    <w:spacing w:after="0" w:line="240" w:lineRule="auto"/>
                    <w:jc w:val="left"/>
                    <w:textAlignment w:val="auto"/>
                    <w:rPr>
                      <w:rFonts w:hint="eastAsia" w:cs="Simplified Arabic" w:asciiTheme="minorEastAsia" w:hAnsiTheme="minorEastAsia" w:eastAsiaTheme="minorEastAsia"/>
                      <w:kern w:val="2"/>
                      <w:sz w:val="24"/>
                      <w:szCs w:val="24"/>
                      <w:lang w:val="en-US" w:eastAsia="en-GB" w:bidi="ar-SA"/>
                    </w:rPr>
                  </w:pPr>
                  <w:r>
                    <w:rPr>
                      <w:rFonts w:hint="eastAsia" w:cs="Simplified Arabic" w:asciiTheme="minorEastAsia" w:hAnsiTheme="minorEastAsia" w:eastAsiaTheme="minorEastAsia"/>
                      <w:kern w:val="2"/>
                      <w:sz w:val="24"/>
                      <w:szCs w:val="24"/>
                      <w:lang w:val="en-US" w:eastAsia="zh-CN" w:bidi="ar-SA"/>
                    </w:rPr>
                    <w:t>贵阳工投</w:t>
                  </w:r>
                  <w:r>
                    <w:rPr>
                      <w:rFonts w:hint="eastAsia" w:cs="Simplified Arabic" w:asciiTheme="minorEastAsia" w:hAnsiTheme="minorEastAsia" w:eastAsiaTheme="minorEastAsia"/>
                      <w:kern w:val="2"/>
                      <w:sz w:val="24"/>
                      <w:szCs w:val="24"/>
                      <w:lang w:val="en-US" w:eastAsia="en-GB" w:bidi="ar-SA"/>
                    </w:rPr>
                    <w:t>：</w:t>
                  </w:r>
                  <w:r>
                    <w:rPr>
                      <w:rFonts w:hint="eastAsia" w:cs="Simplified Arabic" w:asciiTheme="minorEastAsia" w:hAnsiTheme="minorEastAsia" w:eastAsiaTheme="minorEastAsia"/>
                      <w:kern w:val="2"/>
                      <w:sz w:val="24"/>
                      <w:szCs w:val="24"/>
                      <w:lang w:val="en-US" w:eastAsia="zh-CN" w:bidi="ar-SA"/>
                    </w:rPr>
                    <w:t>0</w:t>
                  </w:r>
                  <w:r>
                    <w:rPr>
                      <w:rFonts w:hint="eastAsia" w:cs="Simplified Arabic" w:asciiTheme="minorEastAsia" w:hAnsiTheme="minorEastAsia" w:eastAsiaTheme="minorEastAsia"/>
                      <w:kern w:val="2"/>
                      <w:sz w:val="24"/>
                      <w:szCs w:val="24"/>
                      <w:lang w:val="en-US" w:eastAsia="en-GB" w:bidi="ar-SA"/>
                    </w:rPr>
                    <w:t>-</w:t>
                  </w:r>
                  <w:r>
                    <w:rPr>
                      <w:rFonts w:hint="eastAsia" w:cs="Simplified Arabic" w:asciiTheme="minorEastAsia" w:hAnsiTheme="minorEastAsia" w:eastAsiaTheme="minorEastAsia"/>
                      <w:kern w:val="2"/>
                      <w:sz w:val="24"/>
                      <w:szCs w:val="24"/>
                      <w:lang w:val="en-US" w:eastAsia="zh-CN" w:bidi="ar-SA"/>
                    </w:rPr>
                    <w:t>5</w:t>
                  </w:r>
                  <w:r>
                    <w:rPr>
                      <w:rFonts w:hint="eastAsia" w:cs="Simplified Arabic" w:asciiTheme="minorEastAsia" w:hAnsiTheme="minorEastAsia" w:eastAsiaTheme="minorEastAsia"/>
                      <w:kern w:val="2"/>
                      <w:sz w:val="24"/>
                      <w:szCs w:val="24"/>
                      <w:lang w:val="en-US" w:eastAsia="en-GB" w:bidi="ar-SA"/>
                    </w:rPr>
                    <w:t>%</w:t>
                  </w:r>
                </w:p>
                <w:p>
                  <w:pPr>
                    <w:keepNext w:val="0"/>
                    <w:keepLines w:val="0"/>
                    <w:pageBreakBefore w:val="0"/>
                    <w:widowControl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 w:val="0"/>
                    <w:snapToGrid w:val="0"/>
                    <w:spacing w:line="340" w:lineRule="exact"/>
                    <w:jc w:val="left"/>
                    <w:textAlignment w:val="auto"/>
                    <w:rPr>
                      <w:rFonts w:hint="eastAsia" w:cs="Simplified Arabic" w:asciiTheme="minorEastAsia" w:hAnsiTheme="minorEastAsia" w:eastAsiaTheme="minorEastAsia"/>
                      <w:kern w:val="2"/>
                      <w:sz w:val="24"/>
                      <w:szCs w:val="24"/>
                      <w:lang w:val="en-US" w:eastAsia="zh-CN" w:bidi="ar-SA"/>
                    </w:rPr>
                  </w:pPr>
                  <w:r>
                    <w:rPr>
                      <w:rFonts w:hint="eastAsia" w:cs="Simplified Arabic" w:asciiTheme="minorEastAsia" w:hAnsiTheme="minorEastAsia" w:eastAsiaTheme="minorEastAsia"/>
                      <w:kern w:val="2"/>
                      <w:sz w:val="24"/>
                      <w:szCs w:val="24"/>
                      <w:lang w:val="en-US" w:eastAsia="zh-CN" w:bidi="ar-SA"/>
                    </w:rPr>
                    <w:t>下游：中国境内挖掘机市场</w:t>
                  </w:r>
                </w:p>
                <w:p>
                  <w:pPr>
                    <w:keepNext w:val="0"/>
                    <w:keepLines w:val="0"/>
                    <w:pageBreakBefore w:val="0"/>
                    <w:widowControl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 w:val="0"/>
                    <w:snapToGrid w:val="0"/>
                    <w:spacing w:line="340" w:lineRule="exact"/>
                    <w:jc w:val="left"/>
                    <w:textAlignment w:val="auto"/>
                    <w:rPr>
                      <w:rFonts w:hint="eastAsia" w:cs="Simplified Arabic" w:asciiTheme="minorEastAsia" w:hAnsiTheme="minorEastAsia" w:eastAsiaTheme="minorEastAsia"/>
                      <w:kern w:val="2"/>
                      <w:sz w:val="24"/>
                      <w:szCs w:val="24"/>
                      <w:lang w:val="en-US" w:eastAsia="zh-CN" w:bidi="ar-SA"/>
                    </w:rPr>
                  </w:pPr>
                  <w:r>
                    <w:rPr>
                      <w:rFonts w:hint="eastAsia" w:cs="Simplified Arabic" w:asciiTheme="minorEastAsia" w:hAnsiTheme="minorEastAsia" w:eastAsiaTheme="minorEastAsia"/>
                      <w:kern w:val="2"/>
                      <w:sz w:val="24"/>
                      <w:szCs w:val="24"/>
                      <w:lang w:val="en-US" w:eastAsia="zh-CN" w:bidi="ar-SA"/>
                    </w:rPr>
                    <w:t>詹阳重工</w:t>
                  </w:r>
                  <w:r>
                    <w:rPr>
                      <w:rFonts w:hint="eastAsia" w:cs="Simplified Arabic" w:asciiTheme="minorEastAsia" w:hAnsiTheme="minorEastAsia" w:eastAsiaTheme="minorEastAsia"/>
                      <w:kern w:val="2"/>
                      <w:sz w:val="24"/>
                      <w:szCs w:val="24"/>
                      <w:lang w:val="en-US" w:eastAsia="en-GB" w:bidi="ar-SA"/>
                    </w:rPr>
                    <w:t>:</w:t>
                  </w:r>
                  <w:r>
                    <w:rPr>
                      <w:rFonts w:hint="eastAsia" w:cs="Simplified Arabic" w:asciiTheme="minorEastAsia" w:hAnsiTheme="minorEastAsia" w:eastAsiaTheme="minorEastAsia"/>
                      <w:kern w:val="2"/>
                      <w:sz w:val="24"/>
                      <w:szCs w:val="24"/>
                      <w:lang w:val="en-US" w:eastAsia="zh-CN" w:bidi="ar-SA"/>
                    </w:rPr>
                    <w:t>如上所述</w:t>
                  </w:r>
                </w:p>
              </w:tc>
            </w:tr>
          </w:tbl>
          <w:p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both"/>
              <w:textAlignment w:val="auto"/>
              <w:rPr>
                <w:rFonts w:hint="eastAsia" w:asciiTheme="minorEastAsia" w:hAnsiTheme="minorEastAsia" w:eastAsiaTheme="minorEastAsia"/>
                <w:sz w:val="24"/>
                <w:szCs w:val="24"/>
              </w:rPr>
            </w:pPr>
          </w:p>
        </w:tc>
      </w:tr>
    </w:tbl>
    <w:p>
      <w:pPr>
        <w:snapToGrid w:val="0"/>
        <w:spacing w:line="240" w:lineRule="exact"/>
        <w:jc w:val="left"/>
        <w:rPr>
          <w:rFonts w:asciiTheme="minorEastAsia" w:hAnsiTheme="minorEastAsia" w:eastAsiaTheme="minorEastAsia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AFF" w:usb1="C0007841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Simplified Arabic">
    <w:panose1 w:val="02020603050405020304"/>
    <w:charset w:val="00"/>
    <w:family w:val="roman"/>
    <w:pitch w:val="default"/>
    <w:sig w:usb0="00002003" w:usb1="00000000" w:usb2="00000000" w:usb3="00000000" w:csb0="00000041" w:csb1="2008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A3E0156"/>
    <w:multiLevelType w:val="multilevel"/>
    <w:tmpl w:val="7A3E0156"/>
    <w:lvl w:ilvl="0" w:tentative="0">
      <w:start w:val="3"/>
      <w:numFmt w:val="bullet"/>
      <w:lvlText w:val="□"/>
      <w:lvlJc w:val="left"/>
      <w:pPr>
        <w:ind w:left="360" w:hanging="360"/>
      </w:pPr>
      <w:rPr>
        <w:rFonts w:hint="eastAsia" w:ascii="仿宋_GB2312" w:hAnsi="Times New Roman" w:eastAsia="仿宋_GB2312" w:cs="Times New Roman"/>
        <w:lang w:val="en-U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WMwZDhlOWJjMzNiZmIzOTJmMDNmMDk1ZWE3NjYwYmIifQ=="/>
  </w:docVars>
  <w:rsids>
    <w:rsidRoot w:val="00094095"/>
    <w:rsid w:val="00003E78"/>
    <w:rsid w:val="00012B48"/>
    <w:rsid w:val="00051799"/>
    <w:rsid w:val="000656C3"/>
    <w:rsid w:val="00065BC6"/>
    <w:rsid w:val="00067301"/>
    <w:rsid w:val="00074E77"/>
    <w:rsid w:val="00094095"/>
    <w:rsid w:val="001036F5"/>
    <w:rsid w:val="00113B78"/>
    <w:rsid w:val="00124D72"/>
    <w:rsid w:val="00131D6A"/>
    <w:rsid w:val="00141637"/>
    <w:rsid w:val="001544E9"/>
    <w:rsid w:val="00171E1F"/>
    <w:rsid w:val="00183333"/>
    <w:rsid w:val="00191622"/>
    <w:rsid w:val="001A1FE6"/>
    <w:rsid w:val="001B3AAE"/>
    <w:rsid w:val="001D7381"/>
    <w:rsid w:val="002162B9"/>
    <w:rsid w:val="002203AE"/>
    <w:rsid w:val="002422A1"/>
    <w:rsid w:val="00245776"/>
    <w:rsid w:val="00257D6A"/>
    <w:rsid w:val="002746AF"/>
    <w:rsid w:val="00297BF9"/>
    <w:rsid w:val="002B7C38"/>
    <w:rsid w:val="002F05D1"/>
    <w:rsid w:val="002F2D60"/>
    <w:rsid w:val="00307976"/>
    <w:rsid w:val="003268E2"/>
    <w:rsid w:val="00333557"/>
    <w:rsid w:val="00337BFC"/>
    <w:rsid w:val="0037160E"/>
    <w:rsid w:val="00384723"/>
    <w:rsid w:val="003C4758"/>
    <w:rsid w:val="003D5637"/>
    <w:rsid w:val="00461611"/>
    <w:rsid w:val="00462174"/>
    <w:rsid w:val="004A2902"/>
    <w:rsid w:val="004A2B3F"/>
    <w:rsid w:val="004C6EBC"/>
    <w:rsid w:val="004D0B6B"/>
    <w:rsid w:val="004E278E"/>
    <w:rsid w:val="0050084E"/>
    <w:rsid w:val="005124C3"/>
    <w:rsid w:val="00516336"/>
    <w:rsid w:val="00532519"/>
    <w:rsid w:val="005A2E15"/>
    <w:rsid w:val="005C3726"/>
    <w:rsid w:val="005D3DE2"/>
    <w:rsid w:val="005F167B"/>
    <w:rsid w:val="00605B8E"/>
    <w:rsid w:val="00614D68"/>
    <w:rsid w:val="006205A6"/>
    <w:rsid w:val="0065001A"/>
    <w:rsid w:val="006519E6"/>
    <w:rsid w:val="006544B3"/>
    <w:rsid w:val="006F394A"/>
    <w:rsid w:val="00712AE7"/>
    <w:rsid w:val="007372A5"/>
    <w:rsid w:val="00747A95"/>
    <w:rsid w:val="007526DD"/>
    <w:rsid w:val="007746D2"/>
    <w:rsid w:val="00782AFE"/>
    <w:rsid w:val="00787D47"/>
    <w:rsid w:val="00795FD8"/>
    <w:rsid w:val="007C30A4"/>
    <w:rsid w:val="007D5869"/>
    <w:rsid w:val="00824DCD"/>
    <w:rsid w:val="00835B3B"/>
    <w:rsid w:val="008524D7"/>
    <w:rsid w:val="00862CBF"/>
    <w:rsid w:val="0089199D"/>
    <w:rsid w:val="00894B41"/>
    <w:rsid w:val="008D7506"/>
    <w:rsid w:val="008F1498"/>
    <w:rsid w:val="008F6365"/>
    <w:rsid w:val="009029B8"/>
    <w:rsid w:val="0091364D"/>
    <w:rsid w:val="009417C3"/>
    <w:rsid w:val="00954188"/>
    <w:rsid w:val="009862A7"/>
    <w:rsid w:val="00A03D13"/>
    <w:rsid w:val="00A40C77"/>
    <w:rsid w:val="00A5589B"/>
    <w:rsid w:val="00A573E1"/>
    <w:rsid w:val="00A67F4A"/>
    <w:rsid w:val="00AF3FC4"/>
    <w:rsid w:val="00AF4FB7"/>
    <w:rsid w:val="00B141DF"/>
    <w:rsid w:val="00B23C87"/>
    <w:rsid w:val="00B33502"/>
    <w:rsid w:val="00B5418E"/>
    <w:rsid w:val="00B769C4"/>
    <w:rsid w:val="00BA0750"/>
    <w:rsid w:val="00BB2377"/>
    <w:rsid w:val="00BD1476"/>
    <w:rsid w:val="00BD2952"/>
    <w:rsid w:val="00BD3317"/>
    <w:rsid w:val="00C01567"/>
    <w:rsid w:val="00C1366C"/>
    <w:rsid w:val="00C354C8"/>
    <w:rsid w:val="00C36027"/>
    <w:rsid w:val="00C575EE"/>
    <w:rsid w:val="00C73020"/>
    <w:rsid w:val="00C85E3C"/>
    <w:rsid w:val="00C9068E"/>
    <w:rsid w:val="00CC44D6"/>
    <w:rsid w:val="00CD7BEB"/>
    <w:rsid w:val="00CE12AD"/>
    <w:rsid w:val="00D000C7"/>
    <w:rsid w:val="00D17A3D"/>
    <w:rsid w:val="00D21777"/>
    <w:rsid w:val="00D273AA"/>
    <w:rsid w:val="00D44CA3"/>
    <w:rsid w:val="00D60E79"/>
    <w:rsid w:val="00D85012"/>
    <w:rsid w:val="00DE12D8"/>
    <w:rsid w:val="00DE1ACC"/>
    <w:rsid w:val="00DE6B4D"/>
    <w:rsid w:val="00E05081"/>
    <w:rsid w:val="00E40723"/>
    <w:rsid w:val="00E41BC0"/>
    <w:rsid w:val="00EC6DC0"/>
    <w:rsid w:val="00ED21B1"/>
    <w:rsid w:val="00ED5135"/>
    <w:rsid w:val="00ED7003"/>
    <w:rsid w:val="00EF5BA9"/>
    <w:rsid w:val="00F002CA"/>
    <w:rsid w:val="00F52F6D"/>
    <w:rsid w:val="00F6282F"/>
    <w:rsid w:val="00F87C1F"/>
    <w:rsid w:val="00FA2695"/>
    <w:rsid w:val="00FC6D76"/>
    <w:rsid w:val="00FD2EFE"/>
    <w:rsid w:val="00FD61FA"/>
    <w:rsid w:val="00FE7060"/>
    <w:rsid w:val="0B6758DD"/>
    <w:rsid w:val="13541FD2"/>
    <w:rsid w:val="15AE246F"/>
    <w:rsid w:val="1B023214"/>
    <w:rsid w:val="20577095"/>
    <w:rsid w:val="215008CC"/>
    <w:rsid w:val="2EC132EC"/>
    <w:rsid w:val="30570E4E"/>
    <w:rsid w:val="32154A13"/>
    <w:rsid w:val="32575664"/>
    <w:rsid w:val="35E623C9"/>
    <w:rsid w:val="36DC280F"/>
    <w:rsid w:val="4DEF1C26"/>
    <w:rsid w:val="5F8951A6"/>
    <w:rsid w:val="789956F3"/>
    <w:rsid w:val="7FDC32D4"/>
    <w:rsid w:val="FFFD80D4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qFormat="1"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rPr>
      <w:rFonts w:cs="Simplified Arabic"/>
      <w:lang w:eastAsia="en-GB"/>
    </w:rPr>
  </w:style>
  <w:style w:type="paragraph" w:styleId="3">
    <w:name w:val="endnote text"/>
    <w:basedOn w:val="1"/>
    <w:link w:val="11"/>
    <w:semiHidden/>
    <w:unhideWhenUsed/>
    <w:qFormat/>
    <w:uiPriority w:val="99"/>
    <w:pPr>
      <w:snapToGrid w:val="0"/>
      <w:jc w:val="left"/>
    </w:pPr>
  </w:style>
  <w:style w:type="paragraph" w:styleId="4">
    <w:name w:val="Balloon Text"/>
    <w:basedOn w:val="1"/>
    <w:link w:val="14"/>
    <w:semiHidden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3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8">
    <w:name w:val="Table Grid"/>
    <w:basedOn w:val="7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character" w:customStyle="1" w:styleId="11">
    <w:name w:val="尾注文本 字符"/>
    <w:basedOn w:val="9"/>
    <w:link w:val="3"/>
    <w:semiHidden/>
    <w:qFormat/>
    <w:uiPriority w:val="99"/>
  </w:style>
  <w:style w:type="character" w:customStyle="1" w:styleId="12">
    <w:name w:val="页眉 字符"/>
    <w:link w:val="6"/>
    <w:qFormat/>
    <w:uiPriority w:val="99"/>
    <w:rPr>
      <w:sz w:val="18"/>
      <w:szCs w:val="18"/>
    </w:rPr>
  </w:style>
  <w:style w:type="character" w:customStyle="1" w:styleId="13">
    <w:name w:val="页脚 字符"/>
    <w:link w:val="5"/>
    <w:qFormat/>
    <w:uiPriority w:val="99"/>
    <w:rPr>
      <w:sz w:val="18"/>
      <w:szCs w:val="18"/>
    </w:rPr>
  </w:style>
  <w:style w:type="character" w:customStyle="1" w:styleId="14">
    <w:name w:val="批注框文本 字符"/>
    <w:basedOn w:val="9"/>
    <w:link w:val="4"/>
    <w:semiHidden/>
    <w:qFormat/>
    <w:uiPriority w:val="99"/>
    <w:rPr>
      <w:kern w:val="2"/>
      <w:sz w:val="18"/>
      <w:szCs w:val="18"/>
    </w:rPr>
  </w:style>
  <w:style w:type="paragraph" w:styleId="15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1180</Words>
  <Characters>1225</Characters>
  <Lines>11</Lines>
  <Paragraphs>3</Paragraphs>
  <TotalTime>6</TotalTime>
  <ScaleCrop>false</ScaleCrop>
  <LinksUpToDate>false</LinksUpToDate>
  <CharactersWithSpaces>1234</CharactersWithSpaces>
  <Application>WPS Office_12.1.0.15120_F1E327BC-269C-435d-A152-05C5408002CA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2018-08-04T19:46:00Z</dcterms:created>
  <dc:creator>dell</dc:creator>
  <cp:lastModifiedBy>偶入园林</cp:lastModifiedBy>
  <cp:lastPrinted>2014-10-08T10:48:00Z</cp:lastPrinted>
  <dcterms:modified xsi:type="dcterms:W3CDTF">2023-07-31T01:43:04Z</dcterms:modified>
  <cp:revision>56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2052-12.1.0.15120</vt:lpwstr>
  </property>
  <property fmtid="{D5CDD505-2E9C-101B-9397-08002B2CF9AE}" pid="3" name="ICV">
    <vt:lpwstr>1810AC71643B42318149FA70EBD85191_13</vt:lpwstr>
  </property>
</Properties>
</file>