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jc w:val="center"/>
        <w:rPr>
          <w:rFonts w:ascii="黑体" w:hAnsi="黑体" w:eastAsia="黑体" w:cs="黑体"/>
          <w:bCs/>
          <w:sz w:val="36"/>
          <w:szCs w:val="36"/>
        </w:rPr>
      </w:pPr>
      <w:r>
        <w:rPr>
          <w:rFonts w:hint="eastAsia" w:ascii="黑体" w:hAnsi="黑体" w:eastAsia="黑体" w:cs="黑体"/>
          <w:bCs/>
          <w:sz w:val="36"/>
          <w:szCs w:val="36"/>
        </w:rPr>
        <w:t>经营者集中简易案件公示表</w:t>
      </w:r>
    </w:p>
    <w:tbl>
      <w:tblPr>
        <w:tblStyle w:val="16"/>
        <w:tblW w:w="9640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40"/>
        <w:gridCol w:w="1607"/>
        <w:gridCol w:w="6093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26" w:hRule="atLeast"/>
          <w:jc w:val="center"/>
        </w:trPr>
        <w:tc>
          <w:tcPr>
            <w:tcW w:w="1940" w:type="dxa"/>
            <w:shd w:val="clear" w:color="auto" w:fill="D9D9D9"/>
            <w:vAlign w:val="center"/>
          </w:tcPr>
          <w:p>
            <w:pPr>
              <w:adjustRightInd w:val="0"/>
              <w:snapToGrid w:val="0"/>
              <w:rPr>
                <w:rFonts w:ascii="宋体" w:hAnsi="宋体" w:eastAsia="宋体" w:cs="宋体"/>
                <w:bCs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Cs/>
                <w:color w:val="000000"/>
                <w:sz w:val="24"/>
                <w:szCs w:val="24"/>
                <w:lang w:val="en-GB"/>
              </w:rPr>
              <w:t>案件名称</w:t>
            </w:r>
          </w:p>
        </w:tc>
        <w:tc>
          <w:tcPr>
            <w:tcW w:w="7700" w:type="dxa"/>
            <w:gridSpan w:val="2"/>
            <w:vAlign w:val="center"/>
          </w:tcPr>
          <w:p>
            <w:pPr>
              <w:adjustRightInd w:val="0"/>
              <w:snapToGrid w:val="0"/>
              <w:rPr>
                <w:rFonts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  <w:t>托普索公司与沙索投资有限公司新设合营企业案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91" w:hRule="atLeast"/>
          <w:jc w:val="center"/>
        </w:trPr>
        <w:tc>
          <w:tcPr>
            <w:tcW w:w="1940" w:type="dxa"/>
            <w:shd w:val="clear" w:color="auto" w:fill="D9D9D9"/>
            <w:vAlign w:val="center"/>
          </w:tcPr>
          <w:p>
            <w:pPr>
              <w:adjustRightInd w:val="0"/>
              <w:snapToGrid w:val="0"/>
              <w:rPr>
                <w:rFonts w:ascii="宋体" w:hAnsi="宋体" w:eastAsia="宋体" w:cs="宋体"/>
                <w:bCs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Cs/>
                <w:color w:val="000000"/>
                <w:sz w:val="24"/>
                <w:szCs w:val="24"/>
                <w:lang w:val="en-GB"/>
              </w:rPr>
              <w:t>交易概况（限200字内）</w:t>
            </w:r>
          </w:p>
        </w:tc>
        <w:tc>
          <w:tcPr>
            <w:tcW w:w="7700" w:type="dxa"/>
            <w:gridSpan w:val="2"/>
            <w:vAlign w:val="center"/>
          </w:tcPr>
          <w:p>
            <w:pPr>
              <w:adjustRightInd w:val="0"/>
              <w:snapToGrid w:val="0"/>
              <w:rPr>
                <w:rFonts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  <w:t>托普索公司（“托普索”）的全资子公司托普索项目投资公司与沙索投资有限公司（“沙索”）签署协议，拟新设合营企业，合营企业主要从事可持续航空燃料和石脑油生产与销售业务。交易后，托普索和沙索将分别持有合营企业50%的股份，托普索和沙索共同控制合营企业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42" w:hRule="atLeast"/>
          <w:jc w:val="center"/>
        </w:trPr>
        <w:tc>
          <w:tcPr>
            <w:tcW w:w="1940" w:type="dxa"/>
            <w:vMerge w:val="restart"/>
            <w:shd w:val="clear" w:color="auto" w:fill="D9D9D9"/>
            <w:vAlign w:val="center"/>
          </w:tcPr>
          <w:p>
            <w:pPr>
              <w:adjustRightInd w:val="0"/>
              <w:snapToGrid w:val="0"/>
              <w:rPr>
                <w:rFonts w:ascii="宋体" w:hAnsi="宋体" w:eastAsia="宋体" w:cs="宋体"/>
                <w:bCs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Cs/>
                <w:color w:val="000000"/>
                <w:sz w:val="24"/>
                <w:szCs w:val="24"/>
                <w:lang w:val="en-GB"/>
              </w:rPr>
              <w:t>参与集中的经营者简介（每个限</w:t>
            </w:r>
            <w:r>
              <w:rPr>
                <w:rFonts w:hint="eastAsia" w:ascii="宋体" w:hAnsi="宋体" w:eastAsia="宋体" w:cs="宋体"/>
                <w:bCs/>
                <w:color w:val="000000"/>
                <w:sz w:val="24"/>
                <w:szCs w:val="24"/>
              </w:rPr>
              <w:t>100字以内</w:t>
            </w:r>
            <w:r>
              <w:rPr>
                <w:rFonts w:hint="eastAsia" w:ascii="宋体" w:hAnsi="宋体" w:eastAsia="宋体" w:cs="宋体"/>
                <w:bCs/>
                <w:color w:val="000000"/>
                <w:sz w:val="24"/>
                <w:szCs w:val="24"/>
                <w:lang w:val="en-GB"/>
              </w:rPr>
              <w:t>）</w:t>
            </w:r>
          </w:p>
        </w:tc>
        <w:tc>
          <w:tcPr>
            <w:tcW w:w="1607" w:type="dxa"/>
            <w:vAlign w:val="center"/>
          </w:tcPr>
          <w:p>
            <w:pPr>
              <w:adjustRightInd w:val="0"/>
              <w:snapToGrid w:val="0"/>
              <w:rPr>
                <w:rFonts w:ascii="宋体" w:hAnsi="宋体" w:eastAsia="宋体" w:cs="宋体"/>
                <w:bCs/>
                <w:color w:val="000000"/>
                <w:sz w:val="24"/>
                <w:szCs w:val="24"/>
                <w:lang w:val="en-GB"/>
              </w:rPr>
            </w:pPr>
            <w:r>
              <w:rPr>
                <w:rFonts w:ascii="宋体" w:hAnsi="宋体" w:eastAsia="宋体" w:cs="Times New Roman"/>
                <w:bCs/>
                <w:sz w:val="24"/>
                <w:szCs w:val="24"/>
              </w:rPr>
              <w:t>1.托普索</w:t>
            </w:r>
          </w:p>
        </w:tc>
        <w:tc>
          <w:tcPr>
            <w:tcW w:w="6093" w:type="dxa"/>
          </w:tcPr>
          <w:p>
            <w:pPr>
              <w:adjustRightInd w:val="0"/>
              <w:snapToGrid w:val="0"/>
              <w:spacing w:before="120" w:after="120"/>
              <w:rPr>
                <w:rFonts w:ascii="宋体" w:hAnsi="宋体" w:eastAsia="宋体" w:cs="Times New Roman"/>
                <w:sz w:val="24"/>
                <w:szCs w:val="24"/>
              </w:rPr>
            </w:pPr>
            <w:r>
              <w:rPr>
                <w:rFonts w:hint="eastAsia" w:ascii="宋体" w:hAnsi="宋体" w:eastAsia="宋体" w:cs="Times New Roman"/>
                <w:sz w:val="24"/>
                <w:szCs w:val="24"/>
              </w:rPr>
              <w:t>托普索于</w:t>
            </w:r>
            <w:r>
              <w:rPr>
                <w:rFonts w:ascii="宋体" w:hAnsi="宋体" w:eastAsia="宋体" w:cs="Times New Roman"/>
                <w:sz w:val="24"/>
                <w:szCs w:val="24"/>
              </w:rPr>
              <w:t>1972</w:t>
            </w:r>
            <w:r>
              <w:rPr>
                <w:rFonts w:hint="eastAsia" w:ascii="宋体" w:hAnsi="宋体" w:eastAsia="宋体" w:cs="Times New Roman"/>
                <w:sz w:val="24"/>
                <w:szCs w:val="24"/>
              </w:rPr>
              <w:t>年1</w:t>
            </w:r>
            <w:r>
              <w:rPr>
                <w:rFonts w:ascii="宋体" w:hAnsi="宋体" w:eastAsia="宋体" w:cs="Times New Roman"/>
                <w:sz w:val="24"/>
                <w:szCs w:val="24"/>
              </w:rPr>
              <w:t>1</w:t>
            </w:r>
            <w:r>
              <w:rPr>
                <w:rFonts w:hint="eastAsia" w:ascii="宋体" w:hAnsi="宋体" w:eastAsia="宋体" w:cs="Times New Roman"/>
                <w:sz w:val="24"/>
                <w:szCs w:val="24"/>
              </w:rPr>
              <w:t>月3</w:t>
            </w:r>
            <w:r>
              <w:rPr>
                <w:rFonts w:ascii="宋体" w:hAnsi="宋体" w:eastAsia="宋体" w:cs="Times New Roman"/>
                <w:sz w:val="24"/>
                <w:szCs w:val="24"/>
              </w:rPr>
              <w:t>0</w:t>
            </w:r>
            <w:r>
              <w:rPr>
                <w:rFonts w:hint="eastAsia" w:ascii="宋体" w:hAnsi="宋体" w:eastAsia="宋体" w:cs="Times New Roman"/>
                <w:sz w:val="24"/>
                <w:szCs w:val="24"/>
              </w:rPr>
              <w:t>日成立于丹麦。主要业务为催化剂供应及催化剂技术许可。</w:t>
            </w:r>
          </w:p>
          <w:p>
            <w:pPr>
              <w:adjustRightInd w:val="0"/>
              <w:snapToGrid w:val="0"/>
              <w:rPr>
                <w:rFonts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Times New Roman"/>
                <w:sz w:val="24"/>
                <w:szCs w:val="24"/>
              </w:rPr>
              <w:t>托普索最终控制人为托普索控股公司与淡马锡控股（私人）有限公司，前者主要业务与托普索一致，后者主要业务为跨行业投资。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84" w:hRule="atLeast"/>
          <w:jc w:val="center"/>
        </w:trPr>
        <w:tc>
          <w:tcPr>
            <w:tcW w:w="1940" w:type="dxa"/>
            <w:vMerge w:val="continue"/>
            <w:vAlign w:val="center"/>
          </w:tcPr>
          <w:p>
            <w:pPr>
              <w:numPr>
                <w:ilvl w:val="0"/>
                <w:numId w:val="2"/>
              </w:numPr>
              <w:adjustRightInd w:val="0"/>
              <w:snapToGrid w:val="0"/>
              <w:rPr>
                <w:rFonts w:ascii="宋体" w:hAnsi="宋体" w:eastAsia="宋体" w:cs="宋体"/>
                <w:bCs/>
                <w:color w:val="000000"/>
                <w:sz w:val="24"/>
                <w:szCs w:val="24"/>
              </w:rPr>
            </w:pPr>
          </w:p>
        </w:tc>
        <w:tc>
          <w:tcPr>
            <w:tcW w:w="1607" w:type="dxa"/>
            <w:vAlign w:val="center"/>
          </w:tcPr>
          <w:p>
            <w:pPr>
              <w:adjustRightInd w:val="0"/>
              <w:snapToGrid w:val="0"/>
              <w:rPr>
                <w:rFonts w:ascii="宋体" w:hAnsi="宋体" w:eastAsia="宋体" w:cs="宋体"/>
                <w:bCs/>
                <w:color w:val="000000"/>
                <w:sz w:val="24"/>
                <w:szCs w:val="24"/>
                <w:lang w:val="en-GB"/>
              </w:rPr>
            </w:pPr>
            <w:r>
              <w:rPr>
                <w:rFonts w:ascii="宋体" w:hAnsi="宋体" w:eastAsia="宋体" w:cs="Times New Roman"/>
                <w:bCs/>
                <w:sz w:val="24"/>
                <w:szCs w:val="24"/>
              </w:rPr>
              <w:t>2.沙索</w:t>
            </w:r>
          </w:p>
        </w:tc>
        <w:tc>
          <w:tcPr>
            <w:tcW w:w="6093" w:type="dxa"/>
          </w:tcPr>
          <w:p>
            <w:pPr>
              <w:adjustRightInd w:val="0"/>
              <w:snapToGrid w:val="0"/>
              <w:spacing w:before="120" w:after="120"/>
              <w:rPr>
                <w:rFonts w:ascii="宋体" w:hAnsi="宋体" w:eastAsia="宋体" w:cs="Times New Roman"/>
                <w:sz w:val="24"/>
                <w:szCs w:val="24"/>
              </w:rPr>
            </w:pPr>
            <w:r>
              <w:rPr>
                <w:rFonts w:hint="eastAsia" w:ascii="宋体" w:hAnsi="宋体" w:eastAsia="宋体" w:cs="Times New Roman"/>
                <w:sz w:val="24"/>
                <w:szCs w:val="24"/>
              </w:rPr>
              <w:t>沙索于</w:t>
            </w:r>
            <w:r>
              <w:rPr>
                <w:rFonts w:ascii="宋体" w:hAnsi="宋体" w:eastAsia="宋体" w:cs="Times New Roman"/>
                <w:sz w:val="24"/>
                <w:szCs w:val="24"/>
              </w:rPr>
              <w:t>2013</w:t>
            </w:r>
            <w:r>
              <w:rPr>
                <w:rFonts w:hint="eastAsia" w:ascii="宋体" w:hAnsi="宋体" w:eastAsia="宋体" w:cs="Times New Roman"/>
                <w:sz w:val="24"/>
                <w:szCs w:val="24"/>
              </w:rPr>
              <w:t>年5月7日成立于南非，主要业务为动产和不动产投资。</w:t>
            </w:r>
          </w:p>
          <w:p>
            <w:pPr>
              <w:adjustRightInd w:val="0"/>
              <w:snapToGrid w:val="0"/>
              <w:rPr>
                <w:rFonts w:ascii="宋体" w:hAnsi="宋体" w:eastAsia="宋体" w:cs="宋体"/>
                <w:bCs/>
                <w:color w:val="000000"/>
                <w:sz w:val="24"/>
                <w:szCs w:val="24"/>
                <w:lang w:bidi="ar-AE"/>
              </w:rPr>
            </w:pPr>
            <w:r>
              <w:rPr>
                <w:rFonts w:hint="eastAsia" w:ascii="宋体" w:hAnsi="宋体" w:eastAsia="宋体" w:cs="Times New Roman"/>
                <w:sz w:val="24"/>
                <w:szCs w:val="24"/>
              </w:rPr>
              <w:t>沙索最终控制人为沙索有限公司，主要业务为化学品与能源产品的生产销售。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9" w:hRule="atLeast"/>
          <w:jc w:val="center"/>
        </w:trPr>
        <w:tc>
          <w:tcPr>
            <w:tcW w:w="1940" w:type="dxa"/>
            <w:vMerge w:val="restart"/>
            <w:shd w:val="clear" w:color="auto" w:fill="D9D9D9"/>
            <w:vAlign w:val="center"/>
          </w:tcPr>
          <w:p>
            <w:pPr>
              <w:adjustRightInd w:val="0"/>
              <w:snapToGrid w:val="0"/>
              <w:rPr>
                <w:rFonts w:ascii="宋体" w:hAnsi="宋体" w:eastAsia="宋体" w:cs="宋体"/>
                <w:bCs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Cs/>
                <w:color w:val="000000"/>
                <w:sz w:val="24"/>
                <w:szCs w:val="24"/>
                <w:lang w:val="en-GB"/>
              </w:rPr>
              <w:t>简易案件理由（可以单选，也可以多选）</w:t>
            </w:r>
          </w:p>
        </w:tc>
        <w:tc>
          <w:tcPr>
            <w:tcW w:w="7700" w:type="dxa"/>
            <w:gridSpan w:val="2"/>
            <w:vAlign w:val="center"/>
          </w:tcPr>
          <w:p>
            <w:pPr>
              <w:adjustRightInd w:val="0"/>
              <w:snapToGrid w:val="0"/>
              <w:rPr>
                <w:rFonts w:ascii="宋体" w:hAnsi="宋体" w:eastAsia="宋体" w:cs="宋体"/>
                <w:bCs/>
                <w:color w:val="000000"/>
                <w:sz w:val="24"/>
                <w:szCs w:val="24"/>
              </w:rPr>
            </w:pPr>
            <w:r>
              <w:rPr>
                <w:rFonts w:hint="eastAsia" w:ascii="Wingdings" w:hAnsi="Wingdings" w:eastAsia="Wingdings" w:cs="Wingdings"/>
                <w:bCs/>
                <w:color w:val="000000"/>
                <w:sz w:val="24"/>
                <w:szCs w:val="24"/>
                <w:lang w:val="en-GB"/>
              </w:rPr>
              <w:sym w:font="Wingdings" w:char="00A8"/>
            </w:r>
            <w:r>
              <w:rPr>
                <w:rFonts w:hint="eastAsia" w:ascii="宋体" w:hAnsi="宋体" w:eastAsia="宋体" w:cs="宋体"/>
                <w:bCs/>
                <w:color w:val="000000"/>
                <w:sz w:val="24"/>
                <w:szCs w:val="24"/>
                <w:lang w:val="en-GB"/>
              </w:rPr>
              <w:t xml:space="preserve"> 1、在同一相关市场，所有参与集中的经营者所占市场份额之和小于</w:t>
            </w:r>
            <w:r>
              <w:rPr>
                <w:rFonts w:hint="eastAsia" w:ascii="宋体" w:hAnsi="宋体" w:eastAsia="宋体" w:cs="宋体"/>
                <w:bCs/>
                <w:color w:val="000000"/>
                <w:sz w:val="24"/>
                <w:szCs w:val="24"/>
              </w:rPr>
              <w:t>15%</w:t>
            </w:r>
            <w:r>
              <w:rPr>
                <w:rFonts w:hint="eastAsia" w:ascii="宋体" w:hAnsi="宋体" w:eastAsia="宋体" w:cs="宋体"/>
                <w:bCs/>
                <w:color w:val="000000"/>
                <w:sz w:val="24"/>
                <w:szCs w:val="24"/>
                <w:lang w:val="en-GB"/>
              </w:rPr>
              <w:t>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0" w:hRule="atLeast"/>
          <w:jc w:val="center"/>
        </w:trPr>
        <w:tc>
          <w:tcPr>
            <w:tcW w:w="1940" w:type="dxa"/>
            <w:vMerge w:val="continue"/>
            <w:vAlign w:val="center"/>
          </w:tcPr>
          <w:p>
            <w:pPr>
              <w:numPr>
                <w:ilvl w:val="0"/>
                <w:numId w:val="2"/>
              </w:numPr>
              <w:adjustRightInd w:val="0"/>
              <w:snapToGrid w:val="0"/>
              <w:rPr>
                <w:rFonts w:ascii="宋体" w:hAnsi="宋体" w:eastAsia="宋体" w:cs="宋体"/>
                <w:bCs/>
                <w:color w:val="000000"/>
                <w:sz w:val="24"/>
                <w:szCs w:val="24"/>
              </w:rPr>
            </w:pPr>
          </w:p>
        </w:tc>
        <w:tc>
          <w:tcPr>
            <w:tcW w:w="7700" w:type="dxa"/>
            <w:gridSpan w:val="2"/>
            <w:vAlign w:val="center"/>
          </w:tcPr>
          <w:p>
            <w:pPr>
              <w:adjustRightInd w:val="0"/>
              <w:snapToGrid w:val="0"/>
              <w:rPr>
                <w:rFonts w:ascii="宋体" w:hAnsi="宋体" w:eastAsia="宋体" w:cs="宋体"/>
                <w:bCs/>
                <w:color w:val="000000"/>
                <w:sz w:val="24"/>
                <w:szCs w:val="24"/>
              </w:rPr>
            </w:pPr>
            <w:r>
              <w:rPr>
                <w:rFonts w:hint="eastAsia" w:ascii="Wingdings" w:hAnsi="Wingdings" w:eastAsia="Wingdings" w:cs="Wingdings"/>
                <w:bCs/>
                <w:color w:val="000000"/>
                <w:sz w:val="24"/>
                <w:szCs w:val="24"/>
                <w:lang w:val="en-GB"/>
              </w:rPr>
              <w:t>þ</w:t>
            </w:r>
            <w:r>
              <w:rPr>
                <w:rFonts w:hint="eastAsia" w:ascii="宋体" w:hAnsi="宋体" w:eastAsia="宋体" w:cs="宋体"/>
                <w:bCs/>
                <w:color w:val="000000"/>
                <w:sz w:val="24"/>
                <w:szCs w:val="24"/>
                <w:lang w:val="en-GB"/>
              </w:rPr>
              <w:t xml:space="preserve"> 2、存在上下游关系的参与集中的经营者，在上下游市场所占的市场份额均小于</w:t>
            </w:r>
            <w:r>
              <w:rPr>
                <w:rFonts w:hint="eastAsia" w:ascii="宋体" w:hAnsi="宋体" w:eastAsia="宋体" w:cs="宋体"/>
                <w:bCs/>
                <w:color w:val="000000"/>
                <w:sz w:val="24"/>
                <w:szCs w:val="24"/>
              </w:rPr>
              <w:t>25%</w:t>
            </w:r>
            <w:r>
              <w:rPr>
                <w:rFonts w:hint="eastAsia" w:ascii="宋体" w:hAnsi="宋体" w:eastAsia="宋体" w:cs="宋体"/>
                <w:bCs/>
                <w:color w:val="000000"/>
                <w:sz w:val="24"/>
                <w:szCs w:val="24"/>
                <w:lang w:val="en-GB"/>
              </w:rPr>
              <w:t>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  <w:jc w:val="center"/>
        </w:trPr>
        <w:tc>
          <w:tcPr>
            <w:tcW w:w="1940" w:type="dxa"/>
            <w:vMerge w:val="continue"/>
            <w:vAlign w:val="center"/>
          </w:tcPr>
          <w:p>
            <w:pPr>
              <w:numPr>
                <w:ilvl w:val="0"/>
                <w:numId w:val="2"/>
              </w:numPr>
              <w:adjustRightInd w:val="0"/>
              <w:snapToGrid w:val="0"/>
              <w:rPr>
                <w:rFonts w:ascii="宋体" w:hAnsi="宋体" w:eastAsia="宋体" w:cs="宋体"/>
                <w:bCs/>
                <w:color w:val="000000"/>
                <w:sz w:val="24"/>
                <w:szCs w:val="24"/>
              </w:rPr>
            </w:pPr>
          </w:p>
        </w:tc>
        <w:tc>
          <w:tcPr>
            <w:tcW w:w="7700" w:type="dxa"/>
            <w:gridSpan w:val="2"/>
            <w:vAlign w:val="center"/>
          </w:tcPr>
          <w:p>
            <w:pPr>
              <w:adjustRightInd w:val="0"/>
              <w:snapToGrid w:val="0"/>
              <w:rPr>
                <w:rFonts w:ascii="宋体" w:hAnsi="宋体" w:eastAsia="宋体" w:cs="宋体"/>
                <w:bCs/>
                <w:color w:val="000000"/>
                <w:sz w:val="24"/>
                <w:szCs w:val="24"/>
              </w:rPr>
            </w:pPr>
            <w:r>
              <w:rPr>
                <w:rFonts w:ascii="Wingdings" w:hAnsi="Wingdings" w:eastAsia="Wingdings" w:cs="Wingdings"/>
                <w:sz w:val="24"/>
                <w:szCs w:val="24"/>
              </w:rPr>
              <w:t>¨</w:t>
            </w:r>
            <w:r>
              <w:rPr>
                <w:rFonts w:hint="eastAsia" w:ascii="宋体" w:hAnsi="宋体" w:eastAsia="宋体" w:cs="宋体"/>
                <w:bCs/>
                <w:color w:val="000000"/>
                <w:sz w:val="24"/>
                <w:szCs w:val="24"/>
                <w:lang w:val="en-GB"/>
              </w:rPr>
              <w:t xml:space="preserve"> 3、不在同一相关市场、也不存在上下游关系的参与集中的经营者，在与交易有关的每个市场所占的份额均小于25%。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70" w:hRule="atLeast"/>
          <w:jc w:val="center"/>
        </w:trPr>
        <w:tc>
          <w:tcPr>
            <w:tcW w:w="1940" w:type="dxa"/>
            <w:vMerge w:val="continue"/>
            <w:vAlign w:val="center"/>
          </w:tcPr>
          <w:p>
            <w:pPr>
              <w:numPr>
                <w:ilvl w:val="0"/>
                <w:numId w:val="2"/>
              </w:numPr>
              <w:adjustRightInd w:val="0"/>
              <w:snapToGrid w:val="0"/>
              <w:rPr>
                <w:rFonts w:ascii="宋体" w:hAnsi="宋体" w:eastAsia="宋体" w:cs="宋体"/>
                <w:bCs/>
                <w:color w:val="000000"/>
                <w:sz w:val="24"/>
                <w:szCs w:val="24"/>
              </w:rPr>
            </w:pPr>
          </w:p>
        </w:tc>
        <w:tc>
          <w:tcPr>
            <w:tcW w:w="7700" w:type="dxa"/>
            <w:gridSpan w:val="2"/>
            <w:vAlign w:val="center"/>
          </w:tcPr>
          <w:p>
            <w:pPr>
              <w:adjustRightInd w:val="0"/>
              <w:snapToGrid w:val="0"/>
              <w:rPr>
                <w:rFonts w:ascii="宋体" w:hAnsi="宋体" w:eastAsia="宋体" w:cs="宋体"/>
                <w:bCs/>
                <w:color w:val="000000"/>
                <w:sz w:val="24"/>
                <w:szCs w:val="24"/>
              </w:rPr>
            </w:pPr>
            <w:r>
              <w:rPr>
                <w:rFonts w:ascii="Wingdings" w:hAnsi="Wingdings" w:eastAsia="Wingdings" w:cs="Wingdings"/>
                <w:sz w:val="24"/>
                <w:szCs w:val="24"/>
              </w:rPr>
              <w:t>¨</w:t>
            </w:r>
            <w:r>
              <w:rPr>
                <w:rFonts w:hint="eastAsia" w:ascii="宋体" w:hAnsi="宋体" w:eastAsia="宋体" w:cs="宋体"/>
                <w:bCs/>
                <w:color w:val="000000"/>
                <w:sz w:val="24"/>
                <w:szCs w:val="24"/>
                <w:lang w:val="en-GB"/>
              </w:rPr>
              <w:t xml:space="preserve"> 4、参与集中的经营者在中国境外设立合营企业，合营企业不在中国境内从事经济活动。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4" w:hRule="atLeast"/>
          <w:jc w:val="center"/>
        </w:trPr>
        <w:tc>
          <w:tcPr>
            <w:tcW w:w="1940" w:type="dxa"/>
            <w:vMerge w:val="continue"/>
            <w:vAlign w:val="center"/>
          </w:tcPr>
          <w:p>
            <w:pPr>
              <w:numPr>
                <w:ilvl w:val="0"/>
                <w:numId w:val="2"/>
              </w:numPr>
              <w:adjustRightInd w:val="0"/>
              <w:snapToGrid w:val="0"/>
              <w:rPr>
                <w:rFonts w:ascii="宋体" w:hAnsi="宋体" w:eastAsia="宋体" w:cs="宋体"/>
                <w:bCs/>
                <w:color w:val="000000"/>
                <w:sz w:val="24"/>
                <w:szCs w:val="24"/>
              </w:rPr>
            </w:pPr>
          </w:p>
        </w:tc>
        <w:tc>
          <w:tcPr>
            <w:tcW w:w="7700" w:type="dxa"/>
            <w:gridSpan w:val="2"/>
            <w:vAlign w:val="center"/>
          </w:tcPr>
          <w:p>
            <w:pPr>
              <w:adjustRightInd w:val="0"/>
              <w:snapToGrid w:val="0"/>
              <w:rPr>
                <w:rFonts w:ascii="宋体" w:hAnsi="宋体" w:eastAsia="宋体" w:cs="宋体"/>
                <w:bCs/>
                <w:color w:val="000000"/>
                <w:sz w:val="24"/>
                <w:szCs w:val="24"/>
              </w:rPr>
            </w:pPr>
            <w:r>
              <w:rPr>
                <w:rFonts w:ascii="Wingdings" w:hAnsi="Wingdings" w:eastAsia="Wingdings" w:cs="Wingdings"/>
                <w:sz w:val="24"/>
                <w:szCs w:val="24"/>
              </w:rPr>
              <w:t>¨</w:t>
            </w:r>
            <w:r>
              <w:rPr>
                <w:rFonts w:hint="eastAsia" w:ascii="宋体" w:hAnsi="宋体" w:eastAsia="宋体" w:cs="宋体"/>
                <w:bCs/>
                <w:color w:val="000000"/>
                <w:sz w:val="24"/>
                <w:szCs w:val="24"/>
                <w:lang w:val="en-GB"/>
              </w:rPr>
              <w:t xml:space="preserve"> 5、参与集中的经营者收购境外企业股权或资产的，该境外企业不在中国境内从事经济活动。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5" w:hRule="atLeast"/>
          <w:jc w:val="center"/>
        </w:trPr>
        <w:tc>
          <w:tcPr>
            <w:tcW w:w="1940" w:type="dxa"/>
            <w:vMerge w:val="continue"/>
            <w:vAlign w:val="center"/>
          </w:tcPr>
          <w:p>
            <w:pPr>
              <w:numPr>
                <w:ilvl w:val="0"/>
                <w:numId w:val="2"/>
              </w:numPr>
              <w:adjustRightInd w:val="0"/>
              <w:snapToGrid w:val="0"/>
              <w:rPr>
                <w:rFonts w:ascii="宋体" w:hAnsi="宋体" w:eastAsia="宋体" w:cs="宋体"/>
                <w:bCs/>
                <w:color w:val="000000"/>
                <w:sz w:val="24"/>
                <w:szCs w:val="24"/>
              </w:rPr>
            </w:pPr>
          </w:p>
        </w:tc>
        <w:tc>
          <w:tcPr>
            <w:tcW w:w="7700" w:type="dxa"/>
            <w:gridSpan w:val="2"/>
            <w:vAlign w:val="center"/>
          </w:tcPr>
          <w:p>
            <w:pPr>
              <w:adjustRightInd w:val="0"/>
              <w:snapToGrid w:val="0"/>
              <w:rPr>
                <w:rFonts w:ascii="宋体" w:hAnsi="宋体" w:eastAsia="宋体" w:cs="宋体"/>
                <w:bCs/>
                <w:color w:val="000000"/>
                <w:sz w:val="24"/>
                <w:szCs w:val="24"/>
              </w:rPr>
            </w:pPr>
            <w:r>
              <w:rPr>
                <w:rFonts w:ascii="Wingdings" w:hAnsi="Wingdings" w:eastAsia="Wingdings" w:cs="Wingdings"/>
                <w:sz w:val="24"/>
                <w:szCs w:val="24"/>
              </w:rPr>
              <w:t>¨</w:t>
            </w:r>
            <w:r>
              <w:rPr>
                <w:rFonts w:hint="eastAsia" w:ascii="宋体" w:hAnsi="宋体" w:eastAsia="宋体" w:cs="宋体"/>
                <w:bCs/>
                <w:color w:val="000000"/>
                <w:sz w:val="24"/>
                <w:szCs w:val="24"/>
                <w:lang w:val="en-GB"/>
              </w:rPr>
              <w:t xml:space="preserve"> 6、由两个以上的经营者共同控制的合营企业，通过集中被其中一个或一个以上经营者控制。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7" w:hRule="atLeast"/>
          <w:jc w:val="center"/>
        </w:trPr>
        <w:tc>
          <w:tcPr>
            <w:tcW w:w="1940" w:type="dxa"/>
            <w:shd w:val="clear" w:color="auto" w:fill="D9D9D9"/>
            <w:vAlign w:val="center"/>
          </w:tcPr>
          <w:p>
            <w:pPr>
              <w:adjustRightInd w:val="0"/>
              <w:snapToGrid w:val="0"/>
              <w:rPr>
                <w:rFonts w:ascii="宋体" w:hAnsi="宋体" w:eastAsia="宋体" w:cs="宋体"/>
                <w:bCs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Cs/>
                <w:color w:val="000000"/>
                <w:sz w:val="24"/>
                <w:szCs w:val="24"/>
              </w:rPr>
              <w:t>备注</w:t>
            </w:r>
          </w:p>
        </w:tc>
        <w:tc>
          <w:tcPr>
            <w:tcW w:w="7700" w:type="dxa"/>
            <w:gridSpan w:val="2"/>
            <w:vAlign w:val="center"/>
          </w:tcPr>
          <w:p>
            <w:pPr>
              <w:adjustRightInd w:val="0"/>
              <w:snapToGrid w:val="0"/>
              <w:spacing w:before="120" w:after="120"/>
              <w:rPr>
                <w:rFonts w:ascii="宋体" w:hAnsi="宋体" w:eastAsia="宋体" w:cs="Times New Roman"/>
                <w:b/>
                <w:sz w:val="24"/>
                <w:szCs w:val="24"/>
              </w:rPr>
            </w:pPr>
          </w:p>
          <w:p>
            <w:pPr>
              <w:adjustRightInd w:val="0"/>
              <w:snapToGrid w:val="0"/>
              <w:spacing w:before="120" w:after="120"/>
              <w:rPr>
                <w:rFonts w:ascii="宋体" w:hAnsi="宋体" w:eastAsia="宋体" w:cs="Times New Roman"/>
                <w:b/>
                <w:sz w:val="24"/>
                <w:szCs w:val="24"/>
              </w:rPr>
            </w:pPr>
            <w:r>
              <w:rPr>
                <w:rFonts w:ascii="宋体" w:hAnsi="宋体" w:eastAsia="宋体" w:cs="Times New Roman"/>
                <w:b/>
                <w:sz w:val="24"/>
                <w:szCs w:val="24"/>
              </w:rPr>
              <w:t>纵向关</w:t>
            </w:r>
            <w:r>
              <w:rPr>
                <w:rFonts w:hint="eastAsia" w:ascii="宋体" w:hAnsi="宋体" w:eastAsia="宋体" w:cs="Times New Roman"/>
                <w:b/>
                <w:sz w:val="24"/>
                <w:szCs w:val="24"/>
              </w:rPr>
              <w:t>联</w:t>
            </w:r>
            <w:r>
              <w:rPr>
                <w:rFonts w:ascii="宋体" w:hAnsi="宋体" w:eastAsia="宋体" w:cs="Times New Roman"/>
                <w:b/>
                <w:sz w:val="24"/>
                <w:szCs w:val="24"/>
              </w:rPr>
              <w:t>：</w:t>
            </w:r>
          </w:p>
          <w:tbl>
            <w:tblPr>
              <w:tblStyle w:val="76"/>
              <w:tblW w:w="0" w:type="auto"/>
              <w:tblInd w:w="0" w:type="dxa"/>
              <w:tblBorders>
                <w:top w:val="single" w:color="000000" w:sz="4" w:space="0"/>
                <w:left w:val="single" w:color="000000" w:sz="4" w:space="0"/>
                <w:bottom w:val="single" w:color="000000" w:sz="4" w:space="0"/>
                <w:right w:val="single" w:color="000000" w:sz="4" w:space="0"/>
                <w:insideH w:val="single" w:color="000000" w:sz="4" w:space="0"/>
                <w:insideV w:val="single" w:color="000000" w:sz="4" w:space="0"/>
              </w:tblBorders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2241"/>
              <w:gridCol w:w="2241"/>
              <w:gridCol w:w="2242"/>
            </w:tblGrid>
            <w:tr>
              <w:tblPrEx>
                <w:tblBorders>
                  <w:top w:val="single" w:color="000000" w:sz="4" w:space="0"/>
                  <w:left w:val="single" w:color="000000" w:sz="4" w:space="0"/>
                  <w:bottom w:val="single" w:color="000000" w:sz="4" w:space="0"/>
                  <w:right w:val="single" w:color="000000" w:sz="4" w:space="0"/>
                  <w:insideH w:val="single" w:color="000000" w:sz="4" w:space="0"/>
                  <w:insideV w:val="single" w:color="000000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2241" w:type="dxa"/>
                </w:tcPr>
                <w:p>
                  <w:pPr>
                    <w:spacing w:before="120" w:after="120"/>
                    <w:rPr>
                      <w:rFonts w:ascii="宋体" w:hAnsi="宋体" w:eastAsia="宋体" w:cs="Cambria"/>
                      <w:sz w:val="24"/>
                      <w:szCs w:val="24"/>
                    </w:rPr>
                  </w:pPr>
                  <w:r>
                    <w:rPr>
                      <w:rFonts w:hint="eastAsia" w:ascii="宋体" w:hAnsi="宋体" w:eastAsia="宋体" w:cs="Cambria"/>
                      <w:sz w:val="24"/>
                      <w:szCs w:val="24"/>
                    </w:rPr>
                    <w:t>相关产品市场</w:t>
                  </w:r>
                </w:p>
              </w:tc>
              <w:tc>
                <w:tcPr>
                  <w:tcW w:w="2241" w:type="dxa"/>
                </w:tcPr>
                <w:p>
                  <w:pPr>
                    <w:spacing w:before="120" w:after="120"/>
                    <w:rPr>
                      <w:rFonts w:ascii="宋体" w:hAnsi="宋体" w:eastAsia="宋体" w:cs="Cambria"/>
                      <w:sz w:val="24"/>
                      <w:szCs w:val="24"/>
                    </w:rPr>
                  </w:pPr>
                  <w:r>
                    <w:rPr>
                      <w:rFonts w:hint="eastAsia" w:ascii="宋体" w:hAnsi="宋体" w:eastAsia="宋体" w:cs="Cambria"/>
                      <w:sz w:val="24"/>
                      <w:szCs w:val="24"/>
                    </w:rPr>
                    <w:t>相关地域市场</w:t>
                  </w:r>
                </w:p>
              </w:tc>
              <w:tc>
                <w:tcPr>
                  <w:tcW w:w="2242" w:type="dxa"/>
                </w:tcPr>
                <w:p>
                  <w:pPr>
                    <w:spacing w:before="120" w:after="120"/>
                    <w:rPr>
                      <w:rFonts w:ascii="宋体" w:hAnsi="宋体" w:eastAsia="宋体" w:cs="Cambria"/>
                      <w:sz w:val="24"/>
                      <w:szCs w:val="24"/>
                    </w:rPr>
                  </w:pPr>
                  <w:r>
                    <w:rPr>
                      <w:rFonts w:ascii="宋体" w:hAnsi="宋体" w:eastAsia="宋体" w:cs="Cambria"/>
                      <w:sz w:val="24"/>
                      <w:szCs w:val="24"/>
                    </w:rPr>
                    <w:t>2022</w:t>
                  </w:r>
                  <w:r>
                    <w:rPr>
                      <w:rFonts w:hint="eastAsia" w:ascii="宋体" w:hAnsi="宋体" w:eastAsia="宋体" w:cs="Cambria"/>
                      <w:sz w:val="24"/>
                      <w:szCs w:val="24"/>
                    </w:rPr>
                    <w:t>年市场份额</w:t>
                  </w:r>
                </w:p>
              </w:tc>
            </w:tr>
            <w:tr>
              <w:tblPrEx>
                <w:tblBorders>
                  <w:top w:val="single" w:color="000000" w:sz="4" w:space="0"/>
                  <w:left w:val="single" w:color="000000" w:sz="4" w:space="0"/>
                  <w:bottom w:val="single" w:color="000000" w:sz="4" w:space="0"/>
                  <w:right w:val="single" w:color="000000" w:sz="4" w:space="0"/>
                  <w:insideH w:val="single" w:color="000000" w:sz="4" w:space="0"/>
                  <w:insideV w:val="single" w:color="000000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2241" w:type="dxa"/>
                </w:tcPr>
                <w:p>
                  <w:pPr>
                    <w:spacing w:before="120" w:after="120"/>
                    <w:rPr>
                      <w:rFonts w:ascii="宋体" w:hAnsi="宋体" w:eastAsia="宋体" w:cs="Times New Roman"/>
                      <w:bCs/>
                      <w:sz w:val="24"/>
                      <w:szCs w:val="24"/>
                    </w:rPr>
                  </w:pPr>
                  <w:r>
                    <w:rPr>
                      <w:rFonts w:hint="eastAsia" w:ascii="宋体" w:hAnsi="宋体" w:eastAsia="宋体" w:cs="Times New Roman"/>
                      <w:bCs/>
                      <w:sz w:val="24"/>
                      <w:szCs w:val="24"/>
                    </w:rPr>
                    <w:t>上游：</w:t>
                  </w:r>
                  <w:r>
                    <w:rPr>
                      <w:rFonts w:ascii="宋体" w:hAnsi="宋体" w:eastAsia="宋体" w:cs="Times New Roman"/>
                      <w:bCs/>
                      <w:sz w:val="24"/>
                      <w:szCs w:val="24"/>
                    </w:rPr>
                    <w:t>基础化学与石化催化剂</w:t>
                  </w:r>
                  <w:r>
                    <w:rPr>
                      <w:rFonts w:hint="eastAsia" w:ascii="宋体" w:hAnsi="宋体" w:eastAsia="宋体" w:cs="Times New Roman"/>
                      <w:bCs/>
                      <w:sz w:val="24"/>
                      <w:szCs w:val="24"/>
                    </w:rPr>
                    <w:t>市场</w:t>
                  </w:r>
                </w:p>
                <w:p>
                  <w:pPr>
                    <w:spacing w:before="120" w:after="120"/>
                    <w:rPr>
                      <w:rFonts w:ascii="宋体" w:hAnsi="宋体" w:eastAsia="宋体" w:cs="Times New Roman"/>
                      <w:bCs/>
                      <w:sz w:val="24"/>
                      <w:szCs w:val="24"/>
                    </w:rPr>
                  </w:pPr>
                  <w:r>
                    <w:rPr>
                      <w:rFonts w:hint="eastAsia" w:ascii="宋体" w:hAnsi="宋体" w:eastAsia="宋体" w:cs="Cambria"/>
                      <w:sz w:val="24"/>
                      <w:szCs w:val="24"/>
                    </w:rPr>
                    <w:t>下游：可持续航空燃料市场</w:t>
                  </w:r>
                </w:p>
              </w:tc>
              <w:tc>
                <w:tcPr>
                  <w:tcW w:w="2241" w:type="dxa"/>
                </w:tcPr>
                <w:p>
                  <w:pPr>
                    <w:spacing w:before="120" w:after="120"/>
                    <w:rPr>
                      <w:rFonts w:ascii="宋体" w:hAnsi="宋体" w:eastAsia="宋体" w:cs="Cambria"/>
                      <w:sz w:val="24"/>
                      <w:szCs w:val="24"/>
                    </w:rPr>
                  </w:pPr>
                  <w:r>
                    <w:rPr>
                      <w:rFonts w:hint="eastAsia" w:ascii="宋体" w:hAnsi="宋体" w:eastAsia="宋体" w:cs="Cambria"/>
                      <w:sz w:val="24"/>
                      <w:szCs w:val="24"/>
                    </w:rPr>
                    <w:t>上游：全球</w:t>
                  </w:r>
                </w:p>
                <w:p>
                  <w:pPr>
                    <w:spacing w:before="120" w:after="120"/>
                    <w:rPr>
                      <w:rFonts w:ascii="宋体" w:hAnsi="宋体" w:eastAsia="宋体" w:cs="Cambria"/>
                      <w:sz w:val="24"/>
                      <w:szCs w:val="24"/>
                    </w:rPr>
                  </w:pPr>
                  <w:r>
                    <w:rPr>
                      <w:rFonts w:hint="eastAsia" w:ascii="宋体" w:hAnsi="宋体" w:eastAsia="宋体" w:cs="Cambria"/>
                      <w:sz w:val="24"/>
                      <w:szCs w:val="24"/>
                    </w:rPr>
                    <w:t>下游：全球</w:t>
                  </w:r>
                </w:p>
              </w:tc>
              <w:tc>
                <w:tcPr>
                  <w:tcW w:w="2242" w:type="dxa"/>
                </w:tcPr>
                <w:p>
                  <w:pPr>
                    <w:spacing w:before="120" w:after="120"/>
                    <w:rPr>
                      <w:rFonts w:ascii="宋体" w:hAnsi="宋体" w:eastAsia="宋体" w:cs="Cambria"/>
                      <w:sz w:val="24"/>
                      <w:szCs w:val="24"/>
                    </w:rPr>
                  </w:pPr>
                  <w:r>
                    <w:rPr>
                      <w:rFonts w:hint="eastAsia" w:ascii="宋体" w:hAnsi="宋体" w:eastAsia="宋体" w:cs="Times New Roman"/>
                      <w:bCs/>
                      <w:sz w:val="24"/>
                      <w:szCs w:val="24"/>
                    </w:rPr>
                    <w:t>上游：全球</w:t>
                  </w:r>
                  <w:r>
                    <w:rPr>
                      <w:rFonts w:ascii="宋体" w:hAnsi="宋体" w:eastAsia="宋体" w:cs="Times New Roman"/>
                      <w:bCs/>
                      <w:sz w:val="24"/>
                      <w:szCs w:val="24"/>
                    </w:rPr>
                    <w:t>基础化学与石化催化剂</w:t>
                  </w:r>
                  <w:r>
                    <w:rPr>
                      <w:rFonts w:hint="eastAsia" w:ascii="宋体" w:hAnsi="宋体" w:eastAsia="宋体" w:cs="Times New Roman"/>
                      <w:bCs/>
                      <w:sz w:val="24"/>
                      <w:szCs w:val="24"/>
                    </w:rPr>
                    <w:t>市场</w:t>
                  </w:r>
                </w:p>
                <w:p>
                  <w:pPr>
                    <w:spacing w:before="120" w:after="120"/>
                    <w:rPr>
                      <w:rFonts w:ascii="宋体" w:hAnsi="宋体" w:eastAsia="宋体" w:cs="Cambria"/>
                      <w:sz w:val="24"/>
                      <w:szCs w:val="24"/>
                    </w:rPr>
                  </w:pPr>
                  <w:r>
                    <w:rPr>
                      <w:rFonts w:ascii="宋体" w:hAnsi="宋体" w:eastAsia="宋体" w:cs="Cambria"/>
                      <w:sz w:val="24"/>
                      <w:szCs w:val="24"/>
                    </w:rPr>
                    <w:t>托普索：</w:t>
                  </w:r>
                  <w:r>
                    <w:rPr>
                      <w:rFonts w:hint="eastAsia" w:ascii="宋体" w:hAnsi="宋体" w:eastAsia="宋体" w:cs="Cambria"/>
                      <w:sz w:val="24"/>
                      <w:szCs w:val="24"/>
                    </w:rPr>
                    <w:t>（全球）</w:t>
                  </w:r>
                  <w:r>
                    <w:rPr>
                      <w:rFonts w:ascii="宋体" w:hAnsi="宋体" w:eastAsia="宋体" w:cs="Cambria"/>
                      <w:sz w:val="24"/>
                      <w:szCs w:val="24"/>
                    </w:rPr>
                    <w:t>0-5%；（中国</w:t>
                  </w:r>
                  <w:r>
                    <w:rPr>
                      <w:rFonts w:hint="eastAsia" w:ascii="宋体" w:hAnsi="宋体" w:eastAsia="宋体" w:cs="Cambria"/>
                      <w:sz w:val="24"/>
                      <w:szCs w:val="24"/>
                    </w:rPr>
                    <w:t>境内</w:t>
                  </w:r>
                  <w:r>
                    <w:rPr>
                      <w:rFonts w:ascii="宋体" w:hAnsi="宋体" w:eastAsia="宋体" w:cs="Cambria"/>
                      <w:sz w:val="24"/>
                      <w:szCs w:val="24"/>
                    </w:rPr>
                    <w:t>）5-10%</w:t>
                  </w:r>
                </w:p>
                <w:p>
                  <w:pPr>
                    <w:spacing w:before="120" w:after="120"/>
                    <w:rPr>
                      <w:rFonts w:ascii="宋体" w:hAnsi="宋体" w:eastAsia="宋体" w:cs="Cambria"/>
                      <w:sz w:val="24"/>
                      <w:szCs w:val="24"/>
                    </w:rPr>
                  </w:pPr>
                  <w:r>
                    <w:rPr>
                      <w:rFonts w:hint="eastAsia" w:ascii="宋体" w:hAnsi="宋体" w:eastAsia="宋体" w:cs="Times New Roman"/>
                      <w:bCs/>
                      <w:sz w:val="24"/>
                      <w:szCs w:val="24"/>
                    </w:rPr>
                    <w:t>下游：全球可持续航空燃料市场</w:t>
                  </w:r>
                </w:p>
                <w:p>
                  <w:pPr>
                    <w:spacing w:before="120" w:after="120"/>
                    <w:rPr>
                      <w:rFonts w:ascii="宋体" w:hAnsi="宋体" w:eastAsia="宋体" w:cs="Cambria"/>
                      <w:sz w:val="24"/>
                      <w:szCs w:val="24"/>
                    </w:rPr>
                  </w:pPr>
                  <w:r>
                    <w:rPr>
                      <w:rFonts w:ascii="宋体" w:hAnsi="宋体" w:eastAsia="宋体" w:cs="Cambria"/>
                      <w:sz w:val="24"/>
                      <w:szCs w:val="24"/>
                    </w:rPr>
                    <w:t>沙索：</w:t>
                  </w:r>
                  <w:r>
                    <w:rPr>
                      <w:rFonts w:hint="eastAsia" w:ascii="宋体" w:hAnsi="宋体" w:eastAsia="宋体" w:cs="Cambria"/>
                      <w:sz w:val="24"/>
                      <w:szCs w:val="24"/>
                    </w:rPr>
                    <w:t>（全球）</w:t>
                  </w:r>
                  <w:r>
                    <w:rPr>
                      <w:rFonts w:ascii="宋体" w:hAnsi="宋体" w:eastAsia="宋体" w:cs="Cambria"/>
                      <w:sz w:val="24"/>
                      <w:szCs w:val="24"/>
                    </w:rPr>
                    <w:t>0-5%；（中国</w:t>
                  </w:r>
                  <w:r>
                    <w:rPr>
                      <w:rFonts w:hint="eastAsia" w:ascii="宋体" w:hAnsi="宋体" w:eastAsia="宋体" w:cs="Cambria"/>
                      <w:sz w:val="24"/>
                      <w:szCs w:val="24"/>
                    </w:rPr>
                    <w:t>境内</w:t>
                  </w:r>
                  <w:r>
                    <w:rPr>
                      <w:rFonts w:ascii="宋体" w:hAnsi="宋体" w:eastAsia="宋体" w:cs="Cambria"/>
                      <w:sz w:val="24"/>
                      <w:szCs w:val="24"/>
                    </w:rPr>
                    <w:t>）5-10%</w:t>
                  </w:r>
                </w:p>
                <w:p>
                  <w:pPr>
                    <w:spacing w:before="120" w:after="120"/>
                    <w:rPr>
                      <w:rFonts w:ascii="宋体" w:hAnsi="宋体" w:eastAsia="宋体" w:cs="Times New Roman"/>
                      <w:bCs/>
                      <w:sz w:val="24"/>
                      <w:szCs w:val="24"/>
                    </w:rPr>
                  </w:pPr>
                  <w:r>
                    <w:rPr>
                      <w:rFonts w:hint="eastAsia" w:ascii="宋体" w:hAnsi="宋体" w:eastAsia="宋体" w:cs="Cambria"/>
                      <w:sz w:val="24"/>
                      <w:szCs w:val="24"/>
                    </w:rPr>
                    <w:t>合营企业（预估）：（全球）</w:t>
                  </w:r>
                  <w:r>
                    <w:rPr>
                      <w:rFonts w:ascii="宋体" w:hAnsi="宋体" w:eastAsia="宋体" w:cs="Cambria"/>
                      <w:sz w:val="24"/>
                      <w:szCs w:val="24"/>
                    </w:rPr>
                    <w:t>0-5%；（中国</w:t>
                  </w:r>
                  <w:r>
                    <w:rPr>
                      <w:rFonts w:hint="eastAsia" w:ascii="宋体" w:hAnsi="宋体" w:eastAsia="宋体" w:cs="Cambria"/>
                      <w:sz w:val="24"/>
                      <w:szCs w:val="24"/>
                    </w:rPr>
                    <w:t>境内</w:t>
                  </w:r>
                  <w:r>
                    <w:rPr>
                      <w:rFonts w:ascii="宋体" w:hAnsi="宋体" w:eastAsia="宋体" w:cs="Cambria"/>
                      <w:sz w:val="24"/>
                      <w:szCs w:val="24"/>
                    </w:rPr>
                    <w:t>）5-10%</w:t>
                  </w:r>
                </w:p>
              </w:tc>
            </w:tr>
            <w:tr>
              <w:tblPrEx>
                <w:tblBorders>
                  <w:top w:val="single" w:color="000000" w:sz="4" w:space="0"/>
                  <w:left w:val="single" w:color="000000" w:sz="4" w:space="0"/>
                  <w:bottom w:val="single" w:color="000000" w:sz="4" w:space="0"/>
                  <w:right w:val="single" w:color="000000" w:sz="4" w:space="0"/>
                  <w:insideH w:val="single" w:color="000000" w:sz="4" w:space="0"/>
                  <w:insideV w:val="single" w:color="000000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2241" w:type="dxa"/>
                </w:tcPr>
                <w:p>
                  <w:pPr>
                    <w:spacing w:before="120" w:after="120"/>
                    <w:rPr>
                      <w:rFonts w:ascii="宋体" w:hAnsi="宋体" w:eastAsia="宋体" w:cs="Times New Roman"/>
                      <w:bCs/>
                      <w:sz w:val="24"/>
                      <w:szCs w:val="24"/>
                    </w:rPr>
                  </w:pPr>
                  <w:r>
                    <w:rPr>
                      <w:rFonts w:hint="eastAsia" w:ascii="宋体" w:hAnsi="宋体" w:eastAsia="宋体" w:cs="Times New Roman"/>
                      <w:bCs/>
                      <w:sz w:val="24"/>
                      <w:szCs w:val="24"/>
                    </w:rPr>
                    <w:t>上游：精炼催化剂市场</w:t>
                  </w:r>
                </w:p>
                <w:p>
                  <w:pPr>
                    <w:spacing w:before="120" w:after="120"/>
                    <w:rPr>
                      <w:rFonts w:ascii="宋体" w:hAnsi="宋体" w:eastAsia="宋体" w:cs="Times New Roman"/>
                      <w:bCs/>
                      <w:sz w:val="24"/>
                      <w:szCs w:val="24"/>
                    </w:rPr>
                  </w:pPr>
                  <w:r>
                    <w:rPr>
                      <w:rFonts w:hint="eastAsia" w:ascii="宋体" w:hAnsi="宋体" w:eastAsia="宋体" w:cs="Cambria"/>
                      <w:sz w:val="24"/>
                      <w:szCs w:val="24"/>
                    </w:rPr>
                    <w:t>下游：可持续航空燃料市场</w:t>
                  </w:r>
                </w:p>
              </w:tc>
              <w:tc>
                <w:tcPr>
                  <w:tcW w:w="2241" w:type="dxa"/>
                </w:tcPr>
                <w:p>
                  <w:pPr>
                    <w:spacing w:before="120" w:after="120"/>
                    <w:rPr>
                      <w:rFonts w:ascii="宋体" w:hAnsi="宋体" w:eastAsia="宋体" w:cs="Cambria"/>
                      <w:sz w:val="24"/>
                      <w:szCs w:val="24"/>
                    </w:rPr>
                  </w:pPr>
                  <w:r>
                    <w:rPr>
                      <w:rFonts w:hint="eastAsia" w:ascii="宋体" w:hAnsi="宋体" w:eastAsia="宋体" w:cs="Cambria"/>
                      <w:sz w:val="24"/>
                      <w:szCs w:val="24"/>
                    </w:rPr>
                    <w:t>上游：全球</w:t>
                  </w:r>
                </w:p>
                <w:p>
                  <w:pPr>
                    <w:spacing w:before="120" w:after="120"/>
                    <w:rPr>
                      <w:rFonts w:ascii="宋体" w:hAnsi="宋体" w:eastAsia="宋体" w:cs="Cambria"/>
                      <w:sz w:val="24"/>
                      <w:szCs w:val="24"/>
                    </w:rPr>
                  </w:pPr>
                  <w:r>
                    <w:rPr>
                      <w:rFonts w:hint="eastAsia" w:ascii="宋体" w:hAnsi="宋体" w:eastAsia="宋体" w:cs="Cambria"/>
                      <w:sz w:val="24"/>
                      <w:szCs w:val="24"/>
                    </w:rPr>
                    <w:t>下游：全球</w:t>
                  </w:r>
                </w:p>
              </w:tc>
              <w:tc>
                <w:tcPr>
                  <w:tcW w:w="2242" w:type="dxa"/>
                </w:tcPr>
                <w:p>
                  <w:pPr>
                    <w:spacing w:before="120" w:after="120"/>
                    <w:rPr>
                      <w:rFonts w:ascii="宋体" w:hAnsi="宋体" w:eastAsia="宋体" w:cs="Cambria"/>
                      <w:sz w:val="24"/>
                      <w:szCs w:val="24"/>
                    </w:rPr>
                  </w:pPr>
                  <w:r>
                    <w:rPr>
                      <w:rFonts w:hint="eastAsia" w:ascii="宋体" w:hAnsi="宋体" w:eastAsia="宋体" w:cs="Times New Roman"/>
                      <w:bCs/>
                      <w:sz w:val="24"/>
                      <w:szCs w:val="24"/>
                    </w:rPr>
                    <w:t>上游：全球精炼催化剂市场</w:t>
                  </w:r>
                </w:p>
                <w:p>
                  <w:pPr>
                    <w:spacing w:before="120" w:after="120"/>
                    <w:rPr>
                      <w:rFonts w:ascii="宋体" w:hAnsi="宋体" w:eastAsia="宋体" w:cs="Cambria"/>
                      <w:sz w:val="24"/>
                      <w:szCs w:val="24"/>
                    </w:rPr>
                  </w:pPr>
                  <w:r>
                    <w:rPr>
                      <w:rFonts w:ascii="宋体" w:hAnsi="宋体" w:eastAsia="宋体" w:cs="Cambria"/>
                      <w:sz w:val="24"/>
                      <w:szCs w:val="24"/>
                    </w:rPr>
                    <w:t>托普索：</w:t>
                  </w:r>
                  <w:r>
                    <w:rPr>
                      <w:rFonts w:hint="eastAsia" w:ascii="宋体" w:hAnsi="宋体" w:eastAsia="宋体" w:cs="Cambria"/>
                      <w:sz w:val="24"/>
                      <w:szCs w:val="24"/>
                    </w:rPr>
                    <w:t>（全球）</w:t>
                  </w:r>
                  <w:r>
                    <w:rPr>
                      <w:rFonts w:ascii="宋体" w:hAnsi="宋体" w:eastAsia="宋体" w:cs="Cambria"/>
                      <w:sz w:val="24"/>
                      <w:szCs w:val="24"/>
                    </w:rPr>
                    <w:t>5-10%；（中国</w:t>
                  </w:r>
                  <w:r>
                    <w:rPr>
                      <w:rFonts w:hint="eastAsia" w:ascii="宋体" w:hAnsi="宋体" w:eastAsia="宋体" w:cs="Cambria"/>
                      <w:sz w:val="24"/>
                      <w:szCs w:val="24"/>
                    </w:rPr>
                    <w:t>境内</w:t>
                  </w:r>
                  <w:r>
                    <w:rPr>
                      <w:rFonts w:ascii="宋体" w:hAnsi="宋体" w:eastAsia="宋体" w:cs="Cambria"/>
                      <w:sz w:val="24"/>
                      <w:szCs w:val="24"/>
                    </w:rPr>
                    <w:t>）0-5%</w:t>
                  </w:r>
                </w:p>
                <w:p>
                  <w:pPr>
                    <w:spacing w:before="120" w:after="120"/>
                    <w:rPr>
                      <w:rFonts w:ascii="宋体" w:hAnsi="宋体" w:eastAsia="宋体" w:cs="Cambria"/>
                      <w:sz w:val="24"/>
                      <w:szCs w:val="24"/>
                    </w:rPr>
                  </w:pPr>
                  <w:r>
                    <w:rPr>
                      <w:rFonts w:hint="eastAsia" w:ascii="宋体" w:hAnsi="宋体" w:eastAsia="宋体" w:cs="Times New Roman"/>
                      <w:bCs/>
                      <w:sz w:val="24"/>
                      <w:szCs w:val="24"/>
                    </w:rPr>
                    <w:t>下游：全球可持续航空燃料市场</w:t>
                  </w:r>
                </w:p>
                <w:p>
                  <w:pPr>
                    <w:spacing w:before="120" w:after="120"/>
                    <w:rPr>
                      <w:rFonts w:ascii="宋体" w:hAnsi="宋体" w:eastAsia="宋体" w:cs="Cambria"/>
                      <w:sz w:val="24"/>
                      <w:szCs w:val="24"/>
                    </w:rPr>
                  </w:pPr>
                  <w:r>
                    <w:rPr>
                      <w:rFonts w:ascii="宋体" w:hAnsi="宋体" w:eastAsia="宋体" w:cs="Cambria"/>
                      <w:sz w:val="24"/>
                      <w:szCs w:val="24"/>
                    </w:rPr>
                    <w:t>沙索：</w:t>
                  </w:r>
                  <w:r>
                    <w:rPr>
                      <w:rFonts w:hint="eastAsia" w:ascii="宋体" w:hAnsi="宋体" w:eastAsia="宋体" w:cs="Cambria"/>
                      <w:sz w:val="24"/>
                      <w:szCs w:val="24"/>
                    </w:rPr>
                    <w:t>（全球）</w:t>
                  </w:r>
                  <w:r>
                    <w:rPr>
                      <w:rFonts w:ascii="宋体" w:hAnsi="宋体" w:eastAsia="宋体" w:cs="Cambria"/>
                      <w:sz w:val="24"/>
                      <w:szCs w:val="24"/>
                    </w:rPr>
                    <w:t>0-5%；（中国</w:t>
                  </w:r>
                  <w:r>
                    <w:rPr>
                      <w:rFonts w:hint="eastAsia" w:ascii="宋体" w:hAnsi="宋体" w:eastAsia="宋体" w:cs="Cambria"/>
                      <w:sz w:val="24"/>
                      <w:szCs w:val="24"/>
                    </w:rPr>
                    <w:t>境内</w:t>
                  </w:r>
                  <w:r>
                    <w:rPr>
                      <w:rFonts w:ascii="宋体" w:hAnsi="宋体" w:eastAsia="宋体" w:cs="Cambria"/>
                      <w:sz w:val="24"/>
                      <w:szCs w:val="24"/>
                    </w:rPr>
                    <w:t>）5-10%</w:t>
                  </w:r>
                </w:p>
                <w:p>
                  <w:pPr>
                    <w:spacing w:before="120" w:after="120"/>
                    <w:rPr>
                      <w:rFonts w:ascii="宋体" w:hAnsi="宋体" w:eastAsia="宋体" w:cs="Times New Roman"/>
                      <w:bCs/>
                      <w:sz w:val="24"/>
                      <w:szCs w:val="24"/>
                    </w:rPr>
                  </w:pPr>
                  <w:r>
                    <w:rPr>
                      <w:rFonts w:hint="eastAsia" w:ascii="宋体" w:hAnsi="宋体" w:eastAsia="宋体" w:cs="Cambria"/>
                      <w:sz w:val="24"/>
                      <w:szCs w:val="24"/>
                    </w:rPr>
                    <w:t>合营企业（预估）：（全球）</w:t>
                  </w:r>
                  <w:r>
                    <w:rPr>
                      <w:rFonts w:ascii="宋体" w:hAnsi="宋体" w:eastAsia="宋体" w:cs="Cambria"/>
                      <w:sz w:val="24"/>
                      <w:szCs w:val="24"/>
                    </w:rPr>
                    <w:t>0-5%；（中国</w:t>
                  </w:r>
                  <w:r>
                    <w:rPr>
                      <w:rFonts w:hint="eastAsia" w:ascii="宋体" w:hAnsi="宋体" w:eastAsia="宋体" w:cs="Cambria"/>
                      <w:sz w:val="24"/>
                      <w:szCs w:val="24"/>
                    </w:rPr>
                    <w:t>境内</w:t>
                  </w:r>
                  <w:r>
                    <w:rPr>
                      <w:rFonts w:ascii="宋体" w:hAnsi="宋体" w:eastAsia="宋体" w:cs="Cambria"/>
                      <w:sz w:val="24"/>
                      <w:szCs w:val="24"/>
                    </w:rPr>
                    <w:t>）5-10%</w:t>
                  </w:r>
                </w:p>
              </w:tc>
            </w:tr>
            <w:tr>
              <w:tblPrEx>
                <w:tblBorders>
                  <w:top w:val="single" w:color="000000" w:sz="4" w:space="0"/>
                  <w:left w:val="single" w:color="000000" w:sz="4" w:space="0"/>
                  <w:bottom w:val="single" w:color="000000" w:sz="4" w:space="0"/>
                  <w:right w:val="single" w:color="000000" w:sz="4" w:space="0"/>
                  <w:insideH w:val="single" w:color="000000" w:sz="4" w:space="0"/>
                  <w:insideV w:val="single" w:color="000000" w:sz="4" w:space="0"/>
                </w:tblBorders>
              </w:tblPrEx>
              <w:tc>
                <w:tcPr>
                  <w:tcW w:w="2241" w:type="dxa"/>
                </w:tcPr>
                <w:p>
                  <w:pPr>
                    <w:spacing w:before="120" w:after="120"/>
                    <w:rPr>
                      <w:rFonts w:ascii="宋体" w:hAnsi="宋体" w:eastAsia="宋体" w:cs="Times New Roman"/>
                      <w:bCs/>
                      <w:sz w:val="24"/>
                      <w:szCs w:val="24"/>
                    </w:rPr>
                  </w:pPr>
                  <w:r>
                    <w:rPr>
                      <w:rFonts w:hint="eastAsia" w:ascii="宋体" w:hAnsi="宋体" w:eastAsia="宋体" w:cs="Times New Roman"/>
                      <w:bCs/>
                      <w:sz w:val="24"/>
                      <w:szCs w:val="24"/>
                    </w:rPr>
                    <w:t>上游：费托合成催化剂市场</w:t>
                  </w:r>
                </w:p>
                <w:p>
                  <w:pPr>
                    <w:spacing w:before="120" w:after="120"/>
                    <w:rPr>
                      <w:rFonts w:ascii="宋体" w:hAnsi="宋体" w:eastAsia="宋体" w:cs="Times New Roman"/>
                      <w:bCs/>
                      <w:sz w:val="24"/>
                      <w:szCs w:val="24"/>
                    </w:rPr>
                  </w:pPr>
                  <w:r>
                    <w:rPr>
                      <w:rFonts w:hint="eastAsia" w:ascii="宋体" w:hAnsi="宋体" w:eastAsia="宋体" w:cs="Cambria"/>
                      <w:sz w:val="24"/>
                      <w:szCs w:val="24"/>
                    </w:rPr>
                    <w:t>下游：可持续航空燃料市场</w:t>
                  </w:r>
                </w:p>
              </w:tc>
              <w:tc>
                <w:tcPr>
                  <w:tcW w:w="2241" w:type="dxa"/>
                </w:tcPr>
                <w:p>
                  <w:pPr>
                    <w:spacing w:before="120" w:after="120"/>
                    <w:rPr>
                      <w:rFonts w:ascii="宋体" w:hAnsi="宋体" w:eastAsia="宋体" w:cs="Cambria"/>
                      <w:sz w:val="24"/>
                      <w:szCs w:val="24"/>
                    </w:rPr>
                  </w:pPr>
                  <w:r>
                    <w:rPr>
                      <w:rFonts w:hint="eastAsia" w:ascii="宋体" w:hAnsi="宋体" w:eastAsia="宋体" w:cs="Cambria"/>
                      <w:sz w:val="24"/>
                      <w:szCs w:val="24"/>
                    </w:rPr>
                    <w:t>上游：全球</w:t>
                  </w:r>
                </w:p>
                <w:p>
                  <w:pPr>
                    <w:spacing w:before="120" w:after="120"/>
                    <w:rPr>
                      <w:rFonts w:ascii="宋体" w:hAnsi="宋体" w:eastAsia="宋体" w:cs="Cambria"/>
                      <w:sz w:val="24"/>
                      <w:szCs w:val="24"/>
                    </w:rPr>
                  </w:pPr>
                  <w:r>
                    <w:rPr>
                      <w:rFonts w:hint="eastAsia" w:ascii="宋体" w:hAnsi="宋体" w:eastAsia="宋体" w:cs="Cambria"/>
                      <w:sz w:val="24"/>
                      <w:szCs w:val="24"/>
                    </w:rPr>
                    <w:t>下游：全球</w:t>
                  </w:r>
                </w:p>
              </w:tc>
              <w:tc>
                <w:tcPr>
                  <w:tcW w:w="2242" w:type="dxa"/>
                </w:tcPr>
                <w:p>
                  <w:pPr>
                    <w:spacing w:before="120" w:after="120"/>
                    <w:rPr>
                      <w:rFonts w:ascii="宋体" w:hAnsi="宋体" w:eastAsia="宋体" w:cs="Cambria"/>
                      <w:sz w:val="24"/>
                      <w:szCs w:val="24"/>
                    </w:rPr>
                  </w:pPr>
                  <w:r>
                    <w:rPr>
                      <w:rFonts w:ascii="宋体" w:hAnsi="宋体" w:eastAsia="宋体" w:cs="Cambria"/>
                      <w:sz w:val="24"/>
                      <w:szCs w:val="24"/>
                    </w:rPr>
                    <w:t>上游：</w:t>
                  </w:r>
                  <w:r>
                    <w:rPr>
                      <w:rFonts w:hint="eastAsia" w:ascii="宋体" w:hAnsi="宋体" w:eastAsia="宋体" w:cs="Cambria"/>
                      <w:sz w:val="24"/>
                      <w:szCs w:val="24"/>
                    </w:rPr>
                    <w:t>全球</w:t>
                  </w:r>
                  <w:r>
                    <w:rPr>
                      <w:rFonts w:ascii="宋体" w:hAnsi="宋体" w:eastAsia="宋体" w:cs="Cambria"/>
                      <w:sz w:val="24"/>
                      <w:szCs w:val="24"/>
                    </w:rPr>
                    <w:t>费托合成催化剂市场</w:t>
                  </w:r>
                </w:p>
                <w:p>
                  <w:pPr>
                    <w:spacing w:before="120" w:after="120"/>
                    <w:rPr>
                      <w:rFonts w:ascii="宋体" w:hAnsi="宋体" w:eastAsia="宋体" w:cs="Cambria"/>
                      <w:sz w:val="24"/>
                      <w:szCs w:val="24"/>
                    </w:rPr>
                  </w:pPr>
                  <w:r>
                    <w:rPr>
                      <w:rFonts w:hint="eastAsia" w:ascii="宋体" w:hAnsi="宋体" w:eastAsia="宋体" w:cs="Cambria"/>
                      <w:sz w:val="24"/>
                      <w:szCs w:val="24"/>
                    </w:rPr>
                    <w:t>沙索</w:t>
                  </w:r>
                  <w:r>
                    <w:rPr>
                      <w:rFonts w:ascii="宋体" w:hAnsi="宋体" w:eastAsia="宋体" w:cs="Cambria"/>
                      <w:sz w:val="24"/>
                      <w:szCs w:val="24"/>
                    </w:rPr>
                    <w:t>：</w:t>
                  </w:r>
                  <w:r>
                    <w:rPr>
                      <w:rFonts w:hint="eastAsia" w:ascii="宋体" w:hAnsi="宋体" w:eastAsia="宋体" w:cs="Cambria"/>
                      <w:sz w:val="24"/>
                      <w:szCs w:val="24"/>
                    </w:rPr>
                    <w:t>（全球）</w:t>
                  </w:r>
                  <w:r>
                    <w:rPr>
                      <w:rFonts w:ascii="宋体" w:hAnsi="宋体" w:eastAsia="宋体" w:cs="Cambria"/>
                      <w:sz w:val="24"/>
                      <w:szCs w:val="24"/>
                    </w:rPr>
                    <w:t>0-5%；（中国</w:t>
                  </w:r>
                  <w:r>
                    <w:rPr>
                      <w:rFonts w:hint="eastAsia" w:ascii="宋体" w:hAnsi="宋体" w:eastAsia="宋体" w:cs="Cambria"/>
                      <w:sz w:val="24"/>
                      <w:szCs w:val="24"/>
                    </w:rPr>
                    <w:t>境内</w:t>
                  </w:r>
                  <w:r>
                    <w:rPr>
                      <w:rFonts w:ascii="宋体" w:hAnsi="宋体" w:eastAsia="宋体" w:cs="Cambria"/>
                      <w:sz w:val="24"/>
                      <w:szCs w:val="24"/>
                    </w:rPr>
                    <w:t>）0%</w:t>
                  </w:r>
                </w:p>
                <w:p>
                  <w:pPr>
                    <w:spacing w:before="120" w:after="120"/>
                    <w:rPr>
                      <w:rFonts w:ascii="宋体" w:hAnsi="宋体" w:eastAsia="宋体" w:cs="Cambria"/>
                      <w:sz w:val="24"/>
                      <w:szCs w:val="24"/>
                    </w:rPr>
                  </w:pPr>
                  <w:r>
                    <w:rPr>
                      <w:rFonts w:hint="eastAsia" w:ascii="宋体" w:hAnsi="宋体" w:eastAsia="宋体" w:cs="Times New Roman"/>
                      <w:bCs/>
                      <w:sz w:val="24"/>
                      <w:szCs w:val="24"/>
                    </w:rPr>
                    <w:t>下游：全球可持续航空燃料市场</w:t>
                  </w:r>
                </w:p>
                <w:p>
                  <w:pPr>
                    <w:spacing w:before="120" w:after="120"/>
                    <w:rPr>
                      <w:rFonts w:ascii="宋体" w:hAnsi="宋体" w:eastAsia="宋体" w:cs="Cambria"/>
                      <w:sz w:val="24"/>
                      <w:szCs w:val="24"/>
                    </w:rPr>
                  </w:pPr>
                  <w:r>
                    <w:rPr>
                      <w:rFonts w:ascii="宋体" w:hAnsi="宋体" w:eastAsia="宋体" w:cs="Cambria"/>
                      <w:sz w:val="24"/>
                      <w:szCs w:val="24"/>
                    </w:rPr>
                    <w:t>沙索：</w:t>
                  </w:r>
                  <w:r>
                    <w:rPr>
                      <w:rFonts w:hint="eastAsia" w:ascii="宋体" w:hAnsi="宋体" w:eastAsia="宋体" w:cs="Cambria"/>
                      <w:sz w:val="24"/>
                      <w:szCs w:val="24"/>
                    </w:rPr>
                    <w:t>（全球）</w:t>
                  </w:r>
                  <w:r>
                    <w:rPr>
                      <w:rFonts w:ascii="宋体" w:hAnsi="宋体" w:eastAsia="宋体" w:cs="Cambria"/>
                      <w:sz w:val="24"/>
                      <w:szCs w:val="24"/>
                    </w:rPr>
                    <w:t>0-5%；（中国</w:t>
                  </w:r>
                  <w:r>
                    <w:rPr>
                      <w:rFonts w:hint="eastAsia" w:ascii="宋体" w:hAnsi="宋体" w:eastAsia="宋体" w:cs="Cambria"/>
                      <w:sz w:val="24"/>
                      <w:szCs w:val="24"/>
                    </w:rPr>
                    <w:t>境内</w:t>
                  </w:r>
                  <w:r>
                    <w:rPr>
                      <w:rFonts w:ascii="宋体" w:hAnsi="宋体" w:eastAsia="宋体" w:cs="Cambria"/>
                      <w:sz w:val="24"/>
                      <w:szCs w:val="24"/>
                    </w:rPr>
                    <w:t>）5-10%</w:t>
                  </w:r>
                </w:p>
                <w:p>
                  <w:pPr>
                    <w:spacing w:before="120" w:after="120"/>
                    <w:rPr>
                      <w:rFonts w:ascii="宋体" w:hAnsi="宋体" w:eastAsia="宋体" w:cs="Times New Roman"/>
                      <w:bCs/>
                      <w:sz w:val="24"/>
                      <w:szCs w:val="24"/>
                    </w:rPr>
                  </w:pPr>
                  <w:r>
                    <w:rPr>
                      <w:rFonts w:hint="eastAsia" w:ascii="宋体" w:hAnsi="宋体" w:eastAsia="宋体" w:cs="Cambria"/>
                      <w:sz w:val="24"/>
                      <w:szCs w:val="24"/>
                    </w:rPr>
                    <w:t>合营企业（预估）：（全球）</w:t>
                  </w:r>
                  <w:r>
                    <w:rPr>
                      <w:rFonts w:ascii="宋体" w:hAnsi="宋体" w:eastAsia="宋体" w:cs="Cambria"/>
                      <w:sz w:val="24"/>
                      <w:szCs w:val="24"/>
                    </w:rPr>
                    <w:t>0-5%；（中国</w:t>
                  </w:r>
                  <w:r>
                    <w:rPr>
                      <w:rFonts w:hint="eastAsia" w:ascii="宋体" w:hAnsi="宋体" w:eastAsia="宋体" w:cs="Cambria"/>
                      <w:sz w:val="24"/>
                      <w:szCs w:val="24"/>
                    </w:rPr>
                    <w:t>境内</w:t>
                  </w:r>
                  <w:r>
                    <w:rPr>
                      <w:rFonts w:ascii="宋体" w:hAnsi="宋体" w:eastAsia="宋体" w:cs="Cambria"/>
                      <w:sz w:val="24"/>
                      <w:szCs w:val="24"/>
                    </w:rPr>
                    <w:t>）5-10%</w:t>
                  </w:r>
                </w:p>
              </w:tc>
            </w:tr>
            <w:tr>
              <w:tblPrEx>
                <w:tblBorders>
                  <w:top w:val="single" w:color="000000" w:sz="4" w:space="0"/>
                  <w:left w:val="single" w:color="000000" w:sz="4" w:space="0"/>
                  <w:bottom w:val="single" w:color="000000" w:sz="4" w:space="0"/>
                  <w:right w:val="single" w:color="000000" w:sz="4" w:space="0"/>
                  <w:insideH w:val="single" w:color="000000" w:sz="4" w:space="0"/>
                  <w:insideV w:val="single" w:color="000000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2241" w:type="dxa"/>
                </w:tcPr>
                <w:p>
                  <w:pPr>
                    <w:spacing w:before="120" w:after="120"/>
                    <w:rPr>
                      <w:rFonts w:ascii="宋体" w:hAnsi="宋体" w:eastAsia="宋体" w:cs="Times New Roman"/>
                      <w:bCs/>
                      <w:sz w:val="24"/>
                      <w:szCs w:val="24"/>
                    </w:rPr>
                  </w:pPr>
                  <w:r>
                    <w:rPr>
                      <w:rFonts w:hint="eastAsia" w:ascii="宋体" w:hAnsi="宋体" w:eastAsia="宋体" w:cs="Times New Roman"/>
                      <w:bCs/>
                      <w:sz w:val="24"/>
                      <w:szCs w:val="24"/>
                    </w:rPr>
                    <w:t>上游：</w:t>
                  </w:r>
                  <w:r>
                    <w:rPr>
                      <w:rFonts w:ascii="宋体" w:hAnsi="宋体" w:eastAsia="宋体" w:cs="Times New Roman"/>
                      <w:bCs/>
                      <w:sz w:val="24"/>
                      <w:szCs w:val="24"/>
                    </w:rPr>
                    <w:t>基础化学与石化催化剂</w:t>
                  </w:r>
                  <w:r>
                    <w:rPr>
                      <w:rFonts w:hint="eastAsia" w:ascii="宋体" w:hAnsi="宋体" w:eastAsia="宋体" w:cs="Times New Roman"/>
                      <w:bCs/>
                      <w:sz w:val="24"/>
                      <w:szCs w:val="24"/>
                    </w:rPr>
                    <w:t>技术许可市场</w:t>
                  </w:r>
                </w:p>
                <w:p>
                  <w:pPr>
                    <w:spacing w:before="120" w:after="120"/>
                    <w:rPr>
                      <w:rFonts w:ascii="宋体" w:hAnsi="宋体" w:eastAsia="宋体" w:cs="Cambria"/>
                      <w:sz w:val="24"/>
                      <w:szCs w:val="24"/>
                    </w:rPr>
                  </w:pPr>
                  <w:r>
                    <w:rPr>
                      <w:rFonts w:hint="eastAsia" w:ascii="宋体" w:hAnsi="宋体" w:eastAsia="宋体" w:cs="Cambria"/>
                      <w:sz w:val="24"/>
                      <w:szCs w:val="24"/>
                    </w:rPr>
                    <w:t>下游：可持续航空燃料市场</w:t>
                  </w:r>
                </w:p>
              </w:tc>
              <w:tc>
                <w:tcPr>
                  <w:tcW w:w="2241" w:type="dxa"/>
                </w:tcPr>
                <w:p>
                  <w:pPr>
                    <w:spacing w:before="120" w:after="120"/>
                    <w:rPr>
                      <w:rFonts w:ascii="宋体" w:hAnsi="宋体" w:eastAsia="宋体" w:cs="Cambria"/>
                      <w:sz w:val="24"/>
                      <w:szCs w:val="24"/>
                    </w:rPr>
                  </w:pPr>
                  <w:r>
                    <w:rPr>
                      <w:rFonts w:hint="eastAsia" w:ascii="宋体" w:hAnsi="宋体" w:eastAsia="宋体" w:cs="Cambria"/>
                      <w:sz w:val="24"/>
                      <w:szCs w:val="24"/>
                    </w:rPr>
                    <w:t>上游：全球</w:t>
                  </w:r>
                </w:p>
                <w:p>
                  <w:pPr>
                    <w:spacing w:before="120" w:after="120"/>
                    <w:rPr>
                      <w:rFonts w:ascii="宋体" w:hAnsi="宋体" w:eastAsia="宋体" w:cs="Cambria"/>
                      <w:sz w:val="24"/>
                      <w:szCs w:val="24"/>
                    </w:rPr>
                  </w:pPr>
                  <w:r>
                    <w:rPr>
                      <w:rFonts w:hint="eastAsia" w:ascii="宋体" w:hAnsi="宋体" w:eastAsia="宋体" w:cs="Cambria"/>
                      <w:sz w:val="24"/>
                      <w:szCs w:val="24"/>
                    </w:rPr>
                    <w:t>下游：全球</w:t>
                  </w:r>
                </w:p>
              </w:tc>
              <w:tc>
                <w:tcPr>
                  <w:tcW w:w="2242" w:type="dxa"/>
                </w:tcPr>
                <w:p>
                  <w:pPr>
                    <w:spacing w:before="120" w:after="120"/>
                    <w:rPr>
                      <w:rFonts w:ascii="宋体" w:hAnsi="宋体" w:eastAsia="宋体" w:cs="Cambria"/>
                      <w:sz w:val="24"/>
                      <w:szCs w:val="24"/>
                    </w:rPr>
                  </w:pPr>
                  <w:r>
                    <w:rPr>
                      <w:rFonts w:hint="eastAsia" w:ascii="宋体" w:hAnsi="宋体" w:eastAsia="宋体" w:cs="Times New Roman"/>
                      <w:bCs/>
                      <w:sz w:val="24"/>
                      <w:szCs w:val="24"/>
                    </w:rPr>
                    <w:t>上游：全球</w:t>
                  </w:r>
                  <w:r>
                    <w:rPr>
                      <w:rFonts w:ascii="宋体" w:hAnsi="宋体" w:eastAsia="宋体" w:cs="Times New Roman"/>
                      <w:bCs/>
                      <w:sz w:val="24"/>
                      <w:szCs w:val="24"/>
                    </w:rPr>
                    <w:t>基础化学与石化催化剂</w:t>
                  </w:r>
                  <w:r>
                    <w:rPr>
                      <w:rFonts w:hint="eastAsia" w:ascii="宋体" w:hAnsi="宋体" w:eastAsia="宋体" w:cs="Times New Roman"/>
                      <w:bCs/>
                      <w:sz w:val="24"/>
                      <w:szCs w:val="24"/>
                    </w:rPr>
                    <w:t>技术许可市场</w:t>
                  </w:r>
                </w:p>
                <w:p>
                  <w:pPr>
                    <w:spacing w:before="120" w:after="120"/>
                    <w:rPr>
                      <w:rFonts w:ascii="宋体" w:hAnsi="宋体" w:eastAsia="宋体" w:cs="Cambria"/>
                      <w:sz w:val="24"/>
                      <w:szCs w:val="24"/>
                    </w:rPr>
                  </w:pPr>
                  <w:r>
                    <w:rPr>
                      <w:rFonts w:ascii="宋体" w:hAnsi="宋体" w:eastAsia="宋体" w:cs="Cambria"/>
                      <w:sz w:val="24"/>
                      <w:szCs w:val="24"/>
                    </w:rPr>
                    <w:t>托普索</w:t>
                  </w:r>
                  <w:r>
                    <w:rPr>
                      <w:rFonts w:hint="eastAsia" w:ascii="宋体" w:hAnsi="宋体" w:eastAsia="宋体" w:cs="Cambria"/>
                      <w:sz w:val="24"/>
                      <w:szCs w:val="24"/>
                    </w:rPr>
                    <w:t>：（全球）</w:t>
                  </w:r>
                  <w:r>
                    <w:rPr>
                      <w:rFonts w:ascii="宋体" w:hAnsi="宋体" w:eastAsia="宋体" w:cs="Cambria"/>
                      <w:sz w:val="24"/>
                      <w:szCs w:val="24"/>
                    </w:rPr>
                    <w:t>10-15%；（中国</w:t>
                  </w:r>
                  <w:r>
                    <w:rPr>
                      <w:rFonts w:hint="eastAsia" w:ascii="宋体" w:hAnsi="宋体" w:eastAsia="宋体" w:cs="Cambria"/>
                      <w:sz w:val="24"/>
                      <w:szCs w:val="24"/>
                    </w:rPr>
                    <w:t>境内</w:t>
                  </w:r>
                  <w:r>
                    <w:rPr>
                      <w:rFonts w:ascii="宋体" w:hAnsi="宋体" w:eastAsia="宋体" w:cs="Cambria"/>
                      <w:sz w:val="24"/>
                      <w:szCs w:val="24"/>
                    </w:rPr>
                    <w:t>）5-10%</w:t>
                  </w:r>
                </w:p>
                <w:p>
                  <w:pPr>
                    <w:spacing w:before="120" w:after="120"/>
                    <w:rPr>
                      <w:rFonts w:ascii="宋体" w:hAnsi="宋体" w:eastAsia="宋体" w:cs="Cambria"/>
                      <w:sz w:val="24"/>
                      <w:szCs w:val="24"/>
                    </w:rPr>
                  </w:pPr>
                  <w:r>
                    <w:rPr>
                      <w:rFonts w:hint="eastAsia" w:ascii="宋体" w:hAnsi="宋体" w:eastAsia="宋体" w:cs="Times New Roman"/>
                      <w:bCs/>
                      <w:sz w:val="24"/>
                      <w:szCs w:val="24"/>
                    </w:rPr>
                    <w:t>下游：全球可持续航空燃料市场</w:t>
                  </w:r>
                </w:p>
                <w:p>
                  <w:pPr>
                    <w:spacing w:before="120" w:after="120"/>
                    <w:rPr>
                      <w:rFonts w:ascii="宋体" w:hAnsi="宋体" w:eastAsia="宋体" w:cs="Cambria"/>
                      <w:sz w:val="24"/>
                      <w:szCs w:val="24"/>
                    </w:rPr>
                  </w:pPr>
                  <w:r>
                    <w:rPr>
                      <w:rFonts w:ascii="宋体" w:hAnsi="宋体" w:eastAsia="宋体" w:cs="Cambria"/>
                      <w:sz w:val="24"/>
                      <w:szCs w:val="24"/>
                    </w:rPr>
                    <w:t>沙索：</w:t>
                  </w:r>
                  <w:r>
                    <w:rPr>
                      <w:rFonts w:hint="eastAsia" w:ascii="宋体" w:hAnsi="宋体" w:eastAsia="宋体" w:cs="Cambria"/>
                      <w:sz w:val="24"/>
                      <w:szCs w:val="24"/>
                    </w:rPr>
                    <w:t>（全球）</w:t>
                  </w:r>
                  <w:r>
                    <w:rPr>
                      <w:rFonts w:ascii="宋体" w:hAnsi="宋体" w:eastAsia="宋体" w:cs="Cambria"/>
                      <w:sz w:val="24"/>
                      <w:szCs w:val="24"/>
                    </w:rPr>
                    <w:t>10-15%；（中国</w:t>
                  </w:r>
                  <w:r>
                    <w:rPr>
                      <w:rFonts w:hint="eastAsia" w:ascii="宋体" w:hAnsi="宋体" w:eastAsia="宋体" w:cs="Cambria"/>
                      <w:sz w:val="24"/>
                      <w:szCs w:val="24"/>
                    </w:rPr>
                    <w:t>境内</w:t>
                  </w:r>
                  <w:r>
                    <w:rPr>
                      <w:rFonts w:ascii="宋体" w:hAnsi="宋体" w:eastAsia="宋体" w:cs="Cambria"/>
                      <w:sz w:val="24"/>
                      <w:szCs w:val="24"/>
                    </w:rPr>
                    <w:t>）5-10%</w:t>
                  </w:r>
                </w:p>
                <w:p>
                  <w:pPr>
                    <w:spacing w:before="120" w:after="120"/>
                    <w:rPr>
                      <w:rFonts w:ascii="宋体" w:hAnsi="宋体" w:eastAsia="宋体" w:cs="Cambria"/>
                      <w:sz w:val="24"/>
                      <w:szCs w:val="24"/>
                    </w:rPr>
                  </w:pPr>
                  <w:r>
                    <w:rPr>
                      <w:rFonts w:hint="eastAsia" w:ascii="宋体" w:hAnsi="宋体" w:eastAsia="宋体" w:cs="Cambria"/>
                      <w:sz w:val="24"/>
                      <w:szCs w:val="24"/>
                    </w:rPr>
                    <w:t>合营企业（全球）</w:t>
                  </w:r>
                  <w:r>
                    <w:rPr>
                      <w:rFonts w:ascii="宋体" w:hAnsi="宋体" w:eastAsia="宋体" w:cs="Cambria"/>
                      <w:sz w:val="24"/>
                      <w:szCs w:val="24"/>
                    </w:rPr>
                    <w:t>0-5%；（中国</w:t>
                  </w:r>
                  <w:r>
                    <w:rPr>
                      <w:rFonts w:hint="eastAsia" w:ascii="宋体" w:hAnsi="宋体" w:eastAsia="宋体" w:cs="Cambria"/>
                      <w:sz w:val="24"/>
                      <w:szCs w:val="24"/>
                    </w:rPr>
                    <w:t>境内</w:t>
                  </w:r>
                  <w:r>
                    <w:rPr>
                      <w:rFonts w:ascii="宋体" w:hAnsi="宋体" w:eastAsia="宋体" w:cs="Cambria"/>
                      <w:sz w:val="24"/>
                      <w:szCs w:val="24"/>
                    </w:rPr>
                    <w:t>）5-10%</w:t>
                  </w:r>
                </w:p>
              </w:tc>
            </w:tr>
            <w:tr>
              <w:tblPrEx>
                <w:tblBorders>
                  <w:top w:val="single" w:color="000000" w:sz="4" w:space="0"/>
                  <w:left w:val="single" w:color="000000" w:sz="4" w:space="0"/>
                  <w:bottom w:val="single" w:color="000000" w:sz="4" w:space="0"/>
                  <w:right w:val="single" w:color="000000" w:sz="4" w:space="0"/>
                  <w:insideH w:val="single" w:color="000000" w:sz="4" w:space="0"/>
                  <w:insideV w:val="single" w:color="000000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2241" w:type="dxa"/>
                </w:tcPr>
                <w:p>
                  <w:pPr>
                    <w:spacing w:before="120" w:after="120"/>
                    <w:rPr>
                      <w:rFonts w:ascii="宋体" w:hAnsi="宋体" w:eastAsia="宋体" w:cs="Times New Roman"/>
                      <w:bCs/>
                      <w:sz w:val="24"/>
                      <w:szCs w:val="24"/>
                    </w:rPr>
                  </w:pPr>
                  <w:r>
                    <w:rPr>
                      <w:rFonts w:hint="eastAsia" w:ascii="宋体" w:hAnsi="宋体" w:eastAsia="宋体" w:cs="Times New Roman"/>
                      <w:bCs/>
                      <w:sz w:val="24"/>
                      <w:szCs w:val="24"/>
                    </w:rPr>
                    <w:t>上游：精炼催化剂技术许可市场</w:t>
                  </w:r>
                </w:p>
                <w:p>
                  <w:pPr>
                    <w:spacing w:before="120" w:after="120"/>
                    <w:rPr>
                      <w:rFonts w:ascii="宋体" w:hAnsi="宋体" w:eastAsia="宋体" w:cs="Cambria"/>
                      <w:sz w:val="24"/>
                      <w:szCs w:val="24"/>
                    </w:rPr>
                  </w:pPr>
                  <w:r>
                    <w:rPr>
                      <w:rFonts w:hint="eastAsia" w:ascii="宋体" w:hAnsi="宋体" w:eastAsia="宋体" w:cs="Cambria"/>
                      <w:sz w:val="24"/>
                      <w:szCs w:val="24"/>
                    </w:rPr>
                    <w:t>下游：可持续航空燃料市场</w:t>
                  </w:r>
                </w:p>
              </w:tc>
              <w:tc>
                <w:tcPr>
                  <w:tcW w:w="2241" w:type="dxa"/>
                </w:tcPr>
                <w:p>
                  <w:pPr>
                    <w:spacing w:before="120" w:after="120"/>
                    <w:rPr>
                      <w:rFonts w:ascii="宋体" w:hAnsi="宋体" w:eastAsia="宋体" w:cs="Cambria"/>
                      <w:sz w:val="24"/>
                      <w:szCs w:val="24"/>
                    </w:rPr>
                  </w:pPr>
                  <w:r>
                    <w:rPr>
                      <w:rFonts w:hint="eastAsia" w:ascii="宋体" w:hAnsi="宋体" w:eastAsia="宋体" w:cs="Cambria"/>
                      <w:sz w:val="24"/>
                      <w:szCs w:val="24"/>
                    </w:rPr>
                    <w:t>上游：全球</w:t>
                  </w:r>
                </w:p>
                <w:p>
                  <w:pPr>
                    <w:spacing w:before="120" w:after="120"/>
                    <w:rPr>
                      <w:rFonts w:ascii="宋体" w:hAnsi="宋体" w:eastAsia="宋体" w:cs="Cambria"/>
                      <w:sz w:val="24"/>
                      <w:szCs w:val="24"/>
                    </w:rPr>
                  </w:pPr>
                  <w:r>
                    <w:rPr>
                      <w:rFonts w:hint="eastAsia" w:ascii="宋体" w:hAnsi="宋体" w:eastAsia="宋体" w:cs="Cambria"/>
                      <w:sz w:val="24"/>
                      <w:szCs w:val="24"/>
                    </w:rPr>
                    <w:t>下游：全球</w:t>
                  </w:r>
                </w:p>
              </w:tc>
              <w:tc>
                <w:tcPr>
                  <w:tcW w:w="2242" w:type="dxa"/>
                </w:tcPr>
                <w:p>
                  <w:pPr>
                    <w:spacing w:before="120" w:after="120"/>
                    <w:rPr>
                      <w:rFonts w:ascii="宋体" w:hAnsi="宋体" w:eastAsia="宋体" w:cs="Cambria"/>
                      <w:sz w:val="24"/>
                      <w:szCs w:val="24"/>
                    </w:rPr>
                  </w:pPr>
                  <w:r>
                    <w:rPr>
                      <w:rFonts w:hint="eastAsia" w:ascii="宋体" w:hAnsi="宋体" w:eastAsia="宋体" w:cs="Times New Roman"/>
                      <w:bCs/>
                      <w:sz w:val="24"/>
                      <w:szCs w:val="24"/>
                    </w:rPr>
                    <w:t>上游：全球精炼催化剂技术许可市场</w:t>
                  </w:r>
                </w:p>
                <w:p>
                  <w:pPr>
                    <w:spacing w:before="120" w:after="120"/>
                    <w:rPr>
                      <w:rFonts w:ascii="宋体" w:hAnsi="宋体" w:eastAsia="宋体" w:cs="Cambria"/>
                      <w:sz w:val="24"/>
                      <w:szCs w:val="24"/>
                    </w:rPr>
                  </w:pPr>
                  <w:r>
                    <w:rPr>
                      <w:rFonts w:ascii="宋体" w:hAnsi="宋体" w:eastAsia="宋体" w:cs="Cambria"/>
                      <w:sz w:val="24"/>
                      <w:szCs w:val="24"/>
                    </w:rPr>
                    <w:t>托普索：</w:t>
                  </w:r>
                  <w:r>
                    <w:rPr>
                      <w:rFonts w:hint="eastAsia" w:ascii="宋体" w:hAnsi="宋体" w:eastAsia="宋体" w:cs="Cambria"/>
                      <w:sz w:val="24"/>
                      <w:szCs w:val="24"/>
                    </w:rPr>
                    <w:t>（全球）</w:t>
                  </w:r>
                  <w:r>
                    <w:rPr>
                      <w:rFonts w:ascii="宋体" w:hAnsi="宋体" w:eastAsia="宋体" w:cs="Cambria"/>
                      <w:sz w:val="24"/>
                      <w:szCs w:val="24"/>
                    </w:rPr>
                    <w:t>0-5%；（中国</w:t>
                  </w:r>
                  <w:r>
                    <w:rPr>
                      <w:rFonts w:hint="eastAsia" w:ascii="宋体" w:hAnsi="宋体" w:eastAsia="宋体" w:cs="Cambria"/>
                      <w:sz w:val="24"/>
                      <w:szCs w:val="24"/>
                    </w:rPr>
                    <w:t>境内</w:t>
                  </w:r>
                  <w:r>
                    <w:rPr>
                      <w:rFonts w:ascii="宋体" w:hAnsi="宋体" w:eastAsia="宋体" w:cs="Cambria"/>
                      <w:sz w:val="24"/>
                      <w:szCs w:val="24"/>
                    </w:rPr>
                    <w:t>）0-5%</w:t>
                  </w:r>
                </w:p>
                <w:p>
                  <w:pPr>
                    <w:spacing w:before="120" w:after="120"/>
                    <w:rPr>
                      <w:rFonts w:ascii="宋体" w:hAnsi="宋体" w:eastAsia="宋体" w:cs="Cambria"/>
                      <w:sz w:val="24"/>
                      <w:szCs w:val="24"/>
                    </w:rPr>
                  </w:pPr>
                  <w:r>
                    <w:rPr>
                      <w:rFonts w:hint="eastAsia" w:ascii="宋体" w:hAnsi="宋体" w:eastAsia="宋体" w:cs="Times New Roman"/>
                      <w:bCs/>
                      <w:sz w:val="24"/>
                      <w:szCs w:val="24"/>
                    </w:rPr>
                    <w:t>下游：全球可持续航空燃料市场</w:t>
                  </w:r>
                </w:p>
                <w:p>
                  <w:pPr>
                    <w:spacing w:before="120" w:after="120"/>
                    <w:rPr>
                      <w:rFonts w:ascii="宋体" w:hAnsi="宋体" w:eastAsia="宋体" w:cs="Cambria"/>
                      <w:sz w:val="24"/>
                      <w:szCs w:val="24"/>
                    </w:rPr>
                  </w:pPr>
                  <w:r>
                    <w:rPr>
                      <w:rFonts w:ascii="宋体" w:hAnsi="宋体" w:eastAsia="宋体" w:cs="Cambria"/>
                      <w:sz w:val="24"/>
                      <w:szCs w:val="24"/>
                    </w:rPr>
                    <w:t>沙索：</w:t>
                  </w:r>
                  <w:r>
                    <w:rPr>
                      <w:rFonts w:hint="eastAsia" w:ascii="宋体" w:hAnsi="宋体" w:eastAsia="宋体" w:cs="Cambria"/>
                      <w:sz w:val="24"/>
                      <w:szCs w:val="24"/>
                    </w:rPr>
                    <w:t>（全球）</w:t>
                  </w:r>
                  <w:r>
                    <w:rPr>
                      <w:rFonts w:ascii="宋体" w:hAnsi="宋体" w:eastAsia="宋体" w:cs="Cambria"/>
                      <w:sz w:val="24"/>
                      <w:szCs w:val="24"/>
                    </w:rPr>
                    <w:t>0-5%；（中国</w:t>
                  </w:r>
                  <w:r>
                    <w:rPr>
                      <w:rFonts w:hint="eastAsia" w:ascii="宋体" w:hAnsi="宋体" w:eastAsia="宋体" w:cs="Cambria"/>
                      <w:sz w:val="24"/>
                      <w:szCs w:val="24"/>
                    </w:rPr>
                    <w:t>境内</w:t>
                  </w:r>
                  <w:r>
                    <w:rPr>
                      <w:rFonts w:ascii="宋体" w:hAnsi="宋体" w:eastAsia="宋体" w:cs="Cambria"/>
                      <w:sz w:val="24"/>
                      <w:szCs w:val="24"/>
                    </w:rPr>
                    <w:t>）0-5%</w:t>
                  </w:r>
                </w:p>
                <w:p>
                  <w:pPr>
                    <w:spacing w:before="120" w:after="120"/>
                    <w:rPr>
                      <w:rFonts w:ascii="宋体" w:hAnsi="宋体" w:eastAsia="宋体" w:cs="Cambria"/>
                      <w:sz w:val="24"/>
                      <w:szCs w:val="24"/>
                    </w:rPr>
                  </w:pPr>
                  <w:r>
                    <w:rPr>
                      <w:rFonts w:hint="eastAsia" w:ascii="宋体" w:hAnsi="宋体" w:eastAsia="宋体" w:cs="Cambria"/>
                      <w:sz w:val="24"/>
                      <w:szCs w:val="24"/>
                    </w:rPr>
                    <w:t>合营企业（预估）：（全球）</w:t>
                  </w:r>
                  <w:r>
                    <w:rPr>
                      <w:rFonts w:ascii="宋体" w:hAnsi="宋体" w:eastAsia="宋体" w:cs="Cambria"/>
                      <w:sz w:val="24"/>
                      <w:szCs w:val="24"/>
                    </w:rPr>
                    <w:t>0-5%；（中国</w:t>
                  </w:r>
                  <w:r>
                    <w:rPr>
                      <w:rFonts w:hint="eastAsia" w:ascii="宋体" w:hAnsi="宋体" w:eastAsia="宋体" w:cs="Cambria"/>
                      <w:sz w:val="24"/>
                      <w:szCs w:val="24"/>
                    </w:rPr>
                    <w:t>境内</w:t>
                  </w:r>
                  <w:r>
                    <w:rPr>
                      <w:rFonts w:ascii="宋体" w:hAnsi="宋体" w:eastAsia="宋体" w:cs="Cambria"/>
                      <w:sz w:val="24"/>
                      <w:szCs w:val="24"/>
                    </w:rPr>
                    <w:t>）0-5%</w:t>
                  </w:r>
                </w:p>
              </w:tc>
            </w:tr>
            <w:tr>
              <w:tblPrEx>
                <w:tblBorders>
                  <w:top w:val="single" w:color="000000" w:sz="4" w:space="0"/>
                  <w:left w:val="single" w:color="000000" w:sz="4" w:space="0"/>
                  <w:bottom w:val="single" w:color="000000" w:sz="4" w:space="0"/>
                  <w:right w:val="single" w:color="000000" w:sz="4" w:space="0"/>
                  <w:insideH w:val="single" w:color="000000" w:sz="4" w:space="0"/>
                  <w:insideV w:val="single" w:color="000000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2241" w:type="dxa"/>
                </w:tcPr>
                <w:p>
                  <w:pPr>
                    <w:spacing w:before="120" w:after="120"/>
                    <w:rPr>
                      <w:rFonts w:ascii="宋体" w:hAnsi="宋体" w:eastAsia="宋体" w:cs="Times New Roman"/>
                      <w:bCs/>
                      <w:sz w:val="24"/>
                      <w:szCs w:val="24"/>
                    </w:rPr>
                  </w:pPr>
                  <w:r>
                    <w:rPr>
                      <w:rFonts w:hint="eastAsia" w:ascii="宋体" w:hAnsi="宋体" w:eastAsia="宋体" w:cs="Times New Roman"/>
                      <w:bCs/>
                      <w:sz w:val="24"/>
                      <w:szCs w:val="24"/>
                    </w:rPr>
                    <w:t>上游：费托合成技术许可市场</w:t>
                  </w:r>
                </w:p>
                <w:p>
                  <w:pPr>
                    <w:spacing w:before="120" w:after="120"/>
                    <w:rPr>
                      <w:rFonts w:ascii="宋体" w:hAnsi="宋体" w:eastAsia="宋体" w:cs="Cambria"/>
                      <w:sz w:val="24"/>
                      <w:szCs w:val="24"/>
                    </w:rPr>
                  </w:pPr>
                  <w:r>
                    <w:rPr>
                      <w:rFonts w:hint="eastAsia" w:ascii="宋体" w:hAnsi="宋体" w:eastAsia="宋体" w:cs="Cambria"/>
                      <w:sz w:val="24"/>
                      <w:szCs w:val="24"/>
                    </w:rPr>
                    <w:t>下游：可持续航空燃料市场</w:t>
                  </w:r>
                </w:p>
              </w:tc>
              <w:tc>
                <w:tcPr>
                  <w:tcW w:w="2241" w:type="dxa"/>
                </w:tcPr>
                <w:p>
                  <w:pPr>
                    <w:spacing w:before="120" w:after="120"/>
                    <w:rPr>
                      <w:rFonts w:ascii="宋体" w:hAnsi="宋体" w:eastAsia="宋体" w:cs="Cambria"/>
                      <w:sz w:val="24"/>
                      <w:szCs w:val="24"/>
                    </w:rPr>
                  </w:pPr>
                  <w:r>
                    <w:rPr>
                      <w:rFonts w:hint="eastAsia" w:ascii="宋体" w:hAnsi="宋体" w:eastAsia="宋体" w:cs="Cambria"/>
                      <w:sz w:val="24"/>
                      <w:szCs w:val="24"/>
                    </w:rPr>
                    <w:t>上游：全球</w:t>
                  </w:r>
                </w:p>
                <w:p>
                  <w:pPr>
                    <w:spacing w:before="120" w:after="120"/>
                    <w:rPr>
                      <w:rFonts w:ascii="宋体" w:hAnsi="宋体" w:eastAsia="宋体" w:cs="Cambria"/>
                      <w:sz w:val="24"/>
                      <w:szCs w:val="24"/>
                    </w:rPr>
                  </w:pPr>
                  <w:r>
                    <w:rPr>
                      <w:rFonts w:hint="eastAsia" w:ascii="宋体" w:hAnsi="宋体" w:eastAsia="宋体" w:cs="Cambria"/>
                      <w:sz w:val="24"/>
                      <w:szCs w:val="24"/>
                    </w:rPr>
                    <w:t>下游：全球</w:t>
                  </w:r>
                </w:p>
              </w:tc>
              <w:tc>
                <w:tcPr>
                  <w:tcW w:w="2242" w:type="dxa"/>
                </w:tcPr>
                <w:p>
                  <w:pPr>
                    <w:spacing w:before="120" w:after="120"/>
                    <w:rPr>
                      <w:rFonts w:ascii="宋体" w:hAnsi="宋体" w:eastAsia="宋体" w:cs="Cambria"/>
                      <w:sz w:val="24"/>
                      <w:szCs w:val="24"/>
                    </w:rPr>
                  </w:pPr>
                  <w:r>
                    <w:rPr>
                      <w:rFonts w:hint="eastAsia" w:ascii="宋体" w:hAnsi="宋体" w:eastAsia="宋体" w:cs="Times New Roman"/>
                      <w:bCs/>
                      <w:sz w:val="24"/>
                      <w:szCs w:val="24"/>
                    </w:rPr>
                    <w:t>上游：全球费托合成技术许可市场</w:t>
                  </w:r>
                </w:p>
                <w:p>
                  <w:pPr>
                    <w:spacing w:before="120" w:after="120"/>
                    <w:rPr>
                      <w:rFonts w:ascii="宋体" w:hAnsi="宋体" w:eastAsia="宋体" w:cs="Cambria"/>
                      <w:sz w:val="24"/>
                      <w:szCs w:val="24"/>
                    </w:rPr>
                  </w:pPr>
                  <w:r>
                    <w:rPr>
                      <w:rFonts w:hint="eastAsia" w:ascii="宋体" w:hAnsi="宋体" w:eastAsia="宋体" w:cs="Cambria"/>
                      <w:sz w:val="24"/>
                      <w:szCs w:val="24"/>
                    </w:rPr>
                    <w:t>沙索</w:t>
                  </w:r>
                  <w:r>
                    <w:rPr>
                      <w:rFonts w:ascii="宋体" w:hAnsi="宋体" w:eastAsia="宋体" w:cs="Cambria"/>
                      <w:sz w:val="24"/>
                      <w:szCs w:val="24"/>
                    </w:rPr>
                    <w:t>：</w:t>
                  </w:r>
                  <w:r>
                    <w:rPr>
                      <w:rFonts w:hint="eastAsia" w:ascii="宋体" w:hAnsi="宋体" w:eastAsia="宋体" w:cs="Cambria"/>
                      <w:sz w:val="24"/>
                      <w:szCs w:val="24"/>
                    </w:rPr>
                    <w:t>（全球）</w:t>
                  </w:r>
                  <w:r>
                    <w:rPr>
                      <w:rFonts w:ascii="宋体" w:hAnsi="宋体" w:eastAsia="宋体" w:cs="Cambria"/>
                      <w:sz w:val="24"/>
                      <w:szCs w:val="24"/>
                    </w:rPr>
                    <w:t>0-5%；（中国</w:t>
                  </w:r>
                  <w:r>
                    <w:rPr>
                      <w:rFonts w:hint="eastAsia" w:ascii="宋体" w:hAnsi="宋体" w:eastAsia="宋体" w:cs="Cambria"/>
                      <w:sz w:val="24"/>
                      <w:szCs w:val="24"/>
                    </w:rPr>
                    <w:t>境内</w:t>
                  </w:r>
                  <w:r>
                    <w:rPr>
                      <w:rFonts w:ascii="宋体" w:hAnsi="宋体" w:eastAsia="宋体" w:cs="Cambria"/>
                      <w:sz w:val="24"/>
                      <w:szCs w:val="24"/>
                    </w:rPr>
                    <w:t>）0%</w:t>
                  </w:r>
                </w:p>
                <w:p>
                  <w:pPr>
                    <w:spacing w:before="120" w:after="120"/>
                    <w:rPr>
                      <w:rFonts w:ascii="宋体" w:hAnsi="宋体" w:eastAsia="宋体" w:cs="Cambria"/>
                      <w:sz w:val="24"/>
                      <w:szCs w:val="24"/>
                    </w:rPr>
                  </w:pPr>
                  <w:r>
                    <w:rPr>
                      <w:rFonts w:hint="eastAsia" w:ascii="宋体" w:hAnsi="宋体" w:eastAsia="宋体" w:cs="Times New Roman"/>
                      <w:bCs/>
                      <w:sz w:val="24"/>
                      <w:szCs w:val="24"/>
                    </w:rPr>
                    <w:t>下游：全球可持续航空燃料市场</w:t>
                  </w:r>
                </w:p>
                <w:p>
                  <w:pPr>
                    <w:spacing w:before="120" w:after="120"/>
                    <w:rPr>
                      <w:rFonts w:ascii="宋体" w:hAnsi="宋体" w:eastAsia="宋体" w:cs="Cambria"/>
                      <w:sz w:val="24"/>
                      <w:szCs w:val="24"/>
                    </w:rPr>
                  </w:pPr>
                  <w:r>
                    <w:rPr>
                      <w:rFonts w:ascii="宋体" w:hAnsi="宋体" w:eastAsia="宋体" w:cs="Cambria"/>
                      <w:sz w:val="24"/>
                      <w:szCs w:val="24"/>
                    </w:rPr>
                    <w:t>沙索：</w:t>
                  </w:r>
                  <w:r>
                    <w:rPr>
                      <w:rFonts w:hint="eastAsia" w:ascii="宋体" w:hAnsi="宋体" w:eastAsia="宋体" w:cs="Cambria"/>
                      <w:sz w:val="24"/>
                      <w:szCs w:val="24"/>
                    </w:rPr>
                    <w:t>（全球）</w:t>
                  </w:r>
                  <w:r>
                    <w:rPr>
                      <w:rFonts w:ascii="宋体" w:hAnsi="宋体" w:eastAsia="宋体" w:cs="Cambria"/>
                      <w:sz w:val="24"/>
                      <w:szCs w:val="24"/>
                    </w:rPr>
                    <w:t>0-5%；（中国</w:t>
                  </w:r>
                  <w:r>
                    <w:rPr>
                      <w:rFonts w:hint="eastAsia" w:ascii="宋体" w:hAnsi="宋体" w:eastAsia="宋体" w:cs="Cambria"/>
                      <w:sz w:val="24"/>
                      <w:szCs w:val="24"/>
                    </w:rPr>
                    <w:t>境内</w:t>
                  </w:r>
                  <w:bookmarkStart w:id="0" w:name="_GoBack"/>
                  <w:bookmarkEnd w:id="0"/>
                  <w:r>
                    <w:rPr>
                      <w:rFonts w:ascii="宋体" w:hAnsi="宋体" w:eastAsia="宋体" w:cs="Cambria"/>
                      <w:sz w:val="24"/>
                      <w:szCs w:val="24"/>
                    </w:rPr>
                    <w:t>）0%</w:t>
                  </w:r>
                  <w:r>
                    <w:rPr>
                      <w:rFonts w:hint="eastAsia" w:ascii="宋体" w:hAnsi="宋体" w:eastAsia="宋体" w:cs="Cambria"/>
                      <w:sz w:val="24"/>
                      <w:szCs w:val="24"/>
                    </w:rPr>
                    <w:t>；</w:t>
                  </w:r>
                </w:p>
                <w:p>
                  <w:pPr>
                    <w:spacing w:before="120" w:after="120"/>
                    <w:rPr>
                      <w:rFonts w:ascii="宋体" w:hAnsi="宋体" w:eastAsia="宋体" w:cs="Cambria"/>
                      <w:sz w:val="24"/>
                      <w:szCs w:val="24"/>
                    </w:rPr>
                  </w:pPr>
                  <w:r>
                    <w:rPr>
                      <w:rFonts w:hint="eastAsia" w:ascii="宋体" w:hAnsi="宋体" w:eastAsia="宋体" w:cs="Cambria"/>
                      <w:sz w:val="24"/>
                      <w:szCs w:val="24"/>
                    </w:rPr>
                    <w:t>合营企业（预估）：（全球）</w:t>
                  </w:r>
                  <w:r>
                    <w:rPr>
                      <w:rFonts w:ascii="宋体" w:hAnsi="宋体" w:eastAsia="宋体" w:cs="Cambria"/>
                      <w:sz w:val="24"/>
                      <w:szCs w:val="24"/>
                    </w:rPr>
                    <w:t>0-5%；（中国</w:t>
                  </w:r>
                  <w:r>
                    <w:rPr>
                      <w:rFonts w:hint="eastAsia" w:ascii="宋体" w:hAnsi="宋体" w:eastAsia="宋体" w:cs="Cambria"/>
                      <w:sz w:val="24"/>
                      <w:szCs w:val="24"/>
                    </w:rPr>
                    <w:t>境内</w:t>
                  </w:r>
                  <w:r>
                    <w:rPr>
                      <w:rFonts w:ascii="宋体" w:hAnsi="宋体" w:eastAsia="宋体" w:cs="Cambria"/>
                      <w:sz w:val="24"/>
                      <w:szCs w:val="24"/>
                    </w:rPr>
                    <w:t>）0%</w:t>
                  </w:r>
                </w:p>
              </w:tc>
            </w:tr>
          </w:tbl>
          <w:p>
            <w:pPr>
              <w:adjustRightInd w:val="0"/>
              <w:snapToGrid w:val="0"/>
              <w:rPr>
                <w:rFonts w:ascii="宋体" w:hAnsi="宋体" w:eastAsia="宋体" w:cs="宋体"/>
                <w:color w:val="000000"/>
                <w:sz w:val="24"/>
                <w:szCs w:val="24"/>
              </w:rPr>
            </w:pPr>
          </w:p>
        </w:tc>
      </w:tr>
    </w:tbl>
    <w:p/>
    <w:sectPr>
      <w:footerReference r:id="rId3" w:type="default"/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方正书宋_GBK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altName w:val="Times New Roman"/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altName w:val="DejaVu Sans"/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微软雅黑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PMingLiU">
    <w:altName w:val="Droid Sans Fallback"/>
    <w:panose1 w:val="02020500000000000000"/>
    <w:charset w:val="88"/>
    <w:family w:val="roman"/>
    <w:pitch w:val="default"/>
    <w:sig w:usb0="00000000" w:usb1="00000000" w:usb2="00000016" w:usb3="00000000" w:csb0="00100001" w:csb1="00000000"/>
  </w:font>
  <w:font w:name="PMingLiU">
    <w:altName w:val="Droid Sans Fallback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PMingLiu">
    <w:altName w:val="仿宋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rial Black">
    <w:altName w:val="Times New Roman"/>
    <w:panose1 w:val="020B0A04020102020204"/>
    <w:charset w:val="00"/>
    <w:family w:val="swiss"/>
    <w:pitch w:val="default"/>
    <w:sig w:usb0="00000000" w:usb1="00000000" w:usb2="00000000" w:usb3="00000000" w:csb0="0000009F" w:csb1="00000000"/>
  </w:font>
  <w:font w:name="Cambria">
    <w:altName w:val="FreeSerif"/>
    <w:panose1 w:val="02040503050406030204"/>
    <w:charset w:val="00"/>
    <w:family w:val="roman"/>
    <w:pitch w:val="default"/>
    <w:sig w:usb0="00000000" w:usb1="00000000" w:usb2="02000000" w:usb3="00000000" w:csb0="0000019F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Arial">
    <w:altName w:val="Times New Roman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DejaVu Sans">
    <w:panose1 w:val="020B0603030804020204"/>
    <w:charset w:val="00"/>
    <w:family w:val="auto"/>
    <w:pitch w:val="default"/>
    <w:sig w:usb0="E7006EFF" w:usb1="D200FDFF" w:usb2="0A246029" w:usb3="0400200C" w:csb0="600001FF" w:csb1="DFFF0000"/>
  </w:font>
  <w:font w:name="Liberation Serif">
    <w:panose1 w:val="02020603050405020304"/>
    <w:charset w:val="00"/>
    <w:family w:val="auto"/>
    <w:pitch w:val="default"/>
    <w:sig w:usb0="A00002AF" w:usb1="500078FB" w:usb2="00000000" w:usb3="00000000" w:csb0="6000009F" w:csb1="DFD70000"/>
  </w:font>
  <w:font w:name="方正书宋_GBK">
    <w:panose1 w:val="02000000000000000000"/>
    <w:charset w:val="86"/>
    <w:family w:val="auto"/>
    <w:pitch w:val="default"/>
    <w:sig w:usb0="00000001" w:usb1="08000000" w:usb2="00000000" w:usb3="00000000" w:csb0="00040000" w:csb1="00000000"/>
  </w:font>
  <w:font w:name="微软雅黑">
    <w:panose1 w:val="020B0503020204020204"/>
    <w:charset w:val="86"/>
    <w:family w:val="auto"/>
    <w:pitch w:val="default"/>
    <w:sig w:usb0="80000287" w:usb1="2A0F3C52" w:usb2="00000016" w:usb3="00000000" w:csb0="0004001F" w:csb1="00000000"/>
  </w:font>
  <w:font w:name="Droid Sans Fallback">
    <w:panose1 w:val="020B0502000000000001"/>
    <w:charset w:val="86"/>
    <w:family w:val="auto"/>
    <w:pitch w:val="default"/>
    <w:sig w:usb0="910002FF" w:usb1="2BDFFCFB" w:usb2="00000036" w:usb3="00000000" w:csb0="203F01FF" w:csb1="D7FF0000"/>
  </w:font>
  <w:font w:name="FreeSerif">
    <w:panose1 w:val="02020603050405020304"/>
    <w:charset w:val="00"/>
    <w:family w:val="auto"/>
    <w:pitch w:val="default"/>
    <w:sig w:usb0="E59FAFFF" w:usb1="C200FDFF" w:usb2="43501B29" w:usb3="04000043" w:csb0="600101FF" w:csb1="FFFF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sdt>
    <w:sdtPr>
      <w:id w:val="-1995719344"/>
      <w:docPartObj>
        <w:docPartGallery w:val="autotext"/>
      </w:docPartObj>
    </w:sdtPr>
    <w:sdtContent>
      <w:sdt>
        <w:sdtPr>
          <w:id w:val="1728636285"/>
          <w:docPartObj>
            <w:docPartGallery w:val="autotext"/>
          </w:docPartObj>
        </w:sdtPr>
        <w:sdtContent>
          <w:p>
            <w:pPr>
              <w:pStyle w:val="14"/>
              <w:jc w:val="center"/>
            </w:pPr>
            <w:r>
              <w:rPr>
                <w:lang w:val="zh-CN"/>
              </w:rPr>
              <w:t xml:space="preserve">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PAGE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lang w:val="zh-CN"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rPr>
                <w:lang w:val="zh-CN"/>
              </w:rPr>
              <w:t xml:space="preserve"> /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NUMPAGES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lang w:val="zh-CN"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>
    <w:pPr>
      <w:pStyle w:val="14"/>
    </w:pPr>
  </w:p>
</w:ft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99F52AB"/>
    <w:multiLevelType w:val="multilevel"/>
    <w:tmpl w:val="099F52AB"/>
    <w:lvl w:ilvl="0" w:tentative="0">
      <w:start w:val="1"/>
      <w:numFmt w:val="none"/>
      <w:pStyle w:val="61"/>
      <w:suff w:val="nothing"/>
      <w:lvlText w:val="%1"/>
      <w:lvlJc w:val="left"/>
      <w:pPr>
        <w:ind w:left="0" w:firstLine="0"/>
      </w:pPr>
      <w:rPr>
        <w:rFonts w:hint="default"/>
      </w:rPr>
    </w:lvl>
    <w:lvl w:ilvl="1" w:tentative="0">
      <w:start w:val="1"/>
      <w:numFmt w:val="decimal"/>
      <w:pStyle w:val="62"/>
      <w:lvlText w:val="%1%2."/>
      <w:lvlJc w:val="left"/>
      <w:pPr>
        <w:tabs>
          <w:tab w:val="left" w:pos="709"/>
        </w:tabs>
        <w:ind w:left="709" w:hanging="709"/>
      </w:pPr>
      <w:rPr>
        <w:rFonts w:hint="default"/>
      </w:rPr>
    </w:lvl>
    <w:lvl w:ilvl="2" w:tentative="0">
      <w:start w:val="1"/>
      <w:numFmt w:val="decimal"/>
      <w:pStyle w:val="63"/>
      <w:lvlText w:val="%2.%3"/>
      <w:lvlJc w:val="left"/>
      <w:pPr>
        <w:tabs>
          <w:tab w:val="left" w:pos="709"/>
        </w:tabs>
        <w:ind w:left="709" w:hanging="709"/>
      </w:pPr>
      <w:rPr>
        <w:rFonts w:hint="default"/>
      </w:rPr>
    </w:lvl>
    <w:lvl w:ilvl="3" w:tentative="0">
      <w:start w:val="1"/>
      <w:numFmt w:val="lowerLetter"/>
      <w:pStyle w:val="64"/>
      <w:lvlText w:val="(%4)"/>
      <w:lvlJc w:val="left"/>
      <w:pPr>
        <w:tabs>
          <w:tab w:val="left" w:pos="1418"/>
        </w:tabs>
        <w:ind w:left="1418" w:hanging="709"/>
      </w:pPr>
      <w:rPr>
        <w:rFonts w:hint="default"/>
      </w:rPr>
    </w:lvl>
    <w:lvl w:ilvl="4" w:tentative="0">
      <w:start w:val="1"/>
      <w:numFmt w:val="lowerRoman"/>
      <w:pStyle w:val="65"/>
      <w:lvlText w:val="(%5)"/>
      <w:lvlJc w:val="left"/>
      <w:pPr>
        <w:tabs>
          <w:tab w:val="left" w:pos="2126"/>
        </w:tabs>
        <w:ind w:left="2126" w:hanging="708"/>
      </w:pPr>
      <w:rPr>
        <w:rFonts w:hint="default"/>
      </w:rPr>
    </w:lvl>
    <w:lvl w:ilvl="5" w:tentative="0">
      <w:start w:val="1"/>
      <w:numFmt w:val="upperLetter"/>
      <w:pStyle w:val="66"/>
      <w:lvlText w:val="(%6)"/>
      <w:lvlJc w:val="left"/>
      <w:pPr>
        <w:tabs>
          <w:tab w:val="left" w:pos="2835"/>
        </w:tabs>
        <w:ind w:left="2835" w:hanging="709"/>
      </w:pPr>
      <w:rPr>
        <w:rFonts w:hint="default"/>
      </w:rPr>
    </w:lvl>
    <w:lvl w:ilvl="6" w:tentative="0">
      <w:start w:val="1"/>
      <w:numFmt w:val="decimal"/>
      <w:lvlText w:val="(%7)"/>
      <w:lvlJc w:val="left"/>
      <w:pPr>
        <w:tabs>
          <w:tab w:val="left" w:pos="3544"/>
        </w:tabs>
        <w:ind w:left="3544" w:hanging="709"/>
      </w:pPr>
      <w:rPr>
        <w:rFonts w:hint="default"/>
      </w:rPr>
    </w:lvl>
    <w:lvl w:ilvl="7" w:tentative="0">
      <w:start w:val="1"/>
      <w:numFmt w:val="none"/>
      <w:lvlRestart w:val="0"/>
      <w:suff w:val="nothing"/>
      <w:lvlText w:val=""/>
      <w:lvlJc w:val="left"/>
      <w:pPr>
        <w:ind w:left="0" w:firstLine="0"/>
      </w:pPr>
      <w:rPr>
        <w:rFonts w:hint="default"/>
      </w:rPr>
    </w:lvl>
    <w:lvl w:ilvl="8" w:tentative="0">
      <w:start w:val="1"/>
      <w:numFmt w:val="none"/>
      <w:lvlRestart w:val="0"/>
      <w:suff w:val="nothing"/>
      <w:lvlText w:val=""/>
      <w:lvlJc w:val="left"/>
      <w:pPr>
        <w:ind w:left="0" w:firstLine="0"/>
      </w:pPr>
      <w:rPr>
        <w:rFonts w:hint="default"/>
      </w:rPr>
    </w:lvl>
  </w:abstractNum>
  <w:abstractNum w:abstractNumId="1">
    <w:nsid w:val="21BE28D7"/>
    <w:multiLevelType w:val="multilevel"/>
    <w:tmpl w:val="21BE28D7"/>
    <w:lvl w:ilvl="0" w:tentative="0">
      <w:start w:val="1"/>
      <w:numFmt w:val="upperLetter"/>
      <w:pStyle w:val="60"/>
      <w:lvlText w:val="%1"/>
      <w:lvlJc w:val="left"/>
      <w:pPr>
        <w:tabs>
          <w:tab w:val="left" w:pos="709"/>
        </w:tabs>
        <w:ind w:left="709" w:hanging="709"/>
      </w:pPr>
      <w:rPr>
        <w:rFonts w:hint="default"/>
      </w:rPr>
    </w:lvl>
    <w:lvl w:ilvl="1" w:tentative="0">
      <w:start w:val="1"/>
      <w:numFmt w:val="lowerLetter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lowerRoman"/>
      <w:lvlText w:val="%3."/>
      <w:lvlJc w:val="right"/>
      <w:pPr>
        <w:tabs>
          <w:tab w:val="left" w:pos="2160"/>
        </w:tabs>
        <w:ind w:left="2160" w:hanging="18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lowerLetter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lowerRoman"/>
      <w:lvlText w:val="%6."/>
      <w:lvlJc w:val="right"/>
      <w:pPr>
        <w:tabs>
          <w:tab w:val="left" w:pos="4320"/>
        </w:tabs>
        <w:ind w:left="4320" w:hanging="18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lowerLetter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lowerRoman"/>
      <w:lvlText w:val="%9."/>
      <w:lvlJc w:val="right"/>
      <w:pPr>
        <w:tabs>
          <w:tab w:val="left" w:pos="6480"/>
        </w:tabs>
        <w:ind w:left="6480" w:hanging="180"/>
      </w:pPr>
    </w:lvl>
  </w:abstractNum>
  <w:abstractNum w:abstractNumId="2">
    <w:nsid w:val="40622118"/>
    <w:multiLevelType w:val="multilevel"/>
    <w:tmpl w:val="40622118"/>
    <w:lvl w:ilvl="0" w:tentative="0">
      <w:start w:val="1"/>
      <w:numFmt w:val="decimal"/>
      <w:pStyle w:val="11"/>
      <w:lvlText w:val="%1."/>
      <w:lvlJc w:val="left"/>
      <w:pPr>
        <w:tabs>
          <w:tab w:val="left" w:pos="709"/>
        </w:tabs>
        <w:ind w:left="709" w:hanging="709"/>
      </w:pPr>
      <w:rPr>
        <w:rFonts w:hint="default"/>
      </w:rPr>
    </w:lvl>
    <w:lvl w:ilvl="1" w:tentative="0">
      <w:start w:val="1"/>
      <w:numFmt w:val="lowerLetter"/>
      <w:lvlRestart w:val="0"/>
      <w:pStyle w:val="10"/>
      <w:lvlText w:val="(%2)"/>
      <w:lvlJc w:val="left"/>
      <w:pPr>
        <w:tabs>
          <w:tab w:val="left" w:pos="1418"/>
        </w:tabs>
        <w:ind w:left="1418" w:hanging="709"/>
      </w:pPr>
      <w:rPr>
        <w:rFonts w:hint="default"/>
      </w:rPr>
    </w:lvl>
    <w:lvl w:ilvl="2" w:tentative="0">
      <w:start w:val="1"/>
      <w:numFmt w:val="lowerRoman"/>
      <w:lvlRestart w:val="0"/>
      <w:pStyle w:val="12"/>
      <w:lvlText w:val="(%3)"/>
      <w:lvlJc w:val="left"/>
      <w:pPr>
        <w:tabs>
          <w:tab w:val="left" w:pos="2126"/>
        </w:tabs>
        <w:ind w:left="2126" w:hanging="708"/>
      </w:pPr>
      <w:rPr>
        <w:rFonts w:hint="default"/>
      </w:rPr>
    </w:lvl>
    <w:lvl w:ilvl="3" w:tentative="0">
      <w:start w:val="1"/>
      <w:numFmt w:val="upperLetter"/>
      <w:lvlRestart w:val="0"/>
      <w:pStyle w:val="13"/>
      <w:lvlText w:val="(%4)"/>
      <w:lvlJc w:val="left"/>
      <w:pPr>
        <w:tabs>
          <w:tab w:val="left" w:pos="2835"/>
        </w:tabs>
        <w:ind w:left="2835" w:hanging="709"/>
      </w:pPr>
      <w:rPr>
        <w:rFonts w:hint="default"/>
      </w:rPr>
    </w:lvl>
    <w:lvl w:ilvl="4" w:tentative="0">
      <w:start w:val="1"/>
      <w:numFmt w:val="none"/>
      <w:lvlRestart w:val="0"/>
      <w:suff w:val="nothing"/>
      <w:lvlText w:val=""/>
      <w:lvlJc w:val="left"/>
      <w:pPr>
        <w:ind w:left="0" w:firstLine="0"/>
      </w:pPr>
      <w:rPr>
        <w:rFonts w:hint="default"/>
      </w:rPr>
    </w:lvl>
    <w:lvl w:ilvl="5" w:tentative="0">
      <w:start w:val="1"/>
      <w:numFmt w:val="none"/>
      <w:lvlRestart w:val="0"/>
      <w:suff w:val="nothing"/>
      <w:lvlText w:val=""/>
      <w:lvlJc w:val="left"/>
      <w:pPr>
        <w:ind w:left="0" w:firstLine="0"/>
      </w:pPr>
      <w:rPr>
        <w:rFonts w:hint="default"/>
      </w:rPr>
    </w:lvl>
    <w:lvl w:ilvl="6" w:tentative="0">
      <w:start w:val="1"/>
      <w:numFmt w:val="none"/>
      <w:lvlRestart w:val="0"/>
      <w:suff w:val="nothing"/>
      <w:lvlText w:val=""/>
      <w:lvlJc w:val="left"/>
      <w:pPr>
        <w:ind w:left="0" w:firstLine="0"/>
      </w:pPr>
      <w:rPr>
        <w:rFonts w:hint="default"/>
      </w:rPr>
    </w:lvl>
    <w:lvl w:ilvl="7" w:tentative="0">
      <w:start w:val="1"/>
      <w:numFmt w:val="none"/>
      <w:lvlRestart w:val="0"/>
      <w:suff w:val="nothing"/>
      <w:lvlText w:val=""/>
      <w:lvlJc w:val="left"/>
      <w:pPr>
        <w:ind w:left="0" w:firstLine="0"/>
      </w:pPr>
      <w:rPr>
        <w:rFonts w:hint="default"/>
      </w:rPr>
    </w:lvl>
    <w:lvl w:ilvl="8" w:tentative="0">
      <w:start w:val="1"/>
      <w:numFmt w:val="none"/>
      <w:lvlRestart w:val="0"/>
      <w:suff w:val="nothing"/>
      <w:lvlText w:val=""/>
      <w:lvlJc w:val="left"/>
      <w:pPr>
        <w:ind w:left="0" w:firstLine="0"/>
      </w:pPr>
      <w:rPr>
        <w:rFonts w:hint="default"/>
      </w:rPr>
    </w:lvl>
  </w:abstractNum>
  <w:abstractNum w:abstractNumId="3">
    <w:nsid w:val="48FC3910"/>
    <w:multiLevelType w:val="multilevel"/>
    <w:tmpl w:val="48FC3910"/>
    <w:lvl w:ilvl="0" w:tentative="0">
      <w:start w:val="1"/>
      <w:numFmt w:val="none"/>
      <w:pStyle w:val="2"/>
      <w:suff w:val="nothing"/>
      <w:lvlText w:val=""/>
      <w:lvlJc w:val="left"/>
      <w:pPr>
        <w:ind w:left="0" w:firstLine="0"/>
      </w:pPr>
      <w:rPr>
        <w:rFonts w:hint="default"/>
      </w:rPr>
    </w:lvl>
    <w:lvl w:ilvl="1" w:tentative="0">
      <w:start w:val="1"/>
      <w:numFmt w:val="decimal"/>
      <w:pStyle w:val="4"/>
      <w:lvlText w:val="%2."/>
      <w:lvlJc w:val="left"/>
      <w:pPr>
        <w:tabs>
          <w:tab w:val="left" w:pos="709"/>
        </w:tabs>
        <w:ind w:left="709" w:hanging="709"/>
      </w:pPr>
      <w:rPr>
        <w:rFonts w:hint="default"/>
      </w:rPr>
    </w:lvl>
    <w:lvl w:ilvl="2" w:tentative="0">
      <w:start w:val="1"/>
      <w:numFmt w:val="decimal"/>
      <w:pStyle w:val="5"/>
      <w:lvlText w:val="%2.%3"/>
      <w:lvlJc w:val="left"/>
      <w:pPr>
        <w:tabs>
          <w:tab w:val="left" w:pos="709"/>
        </w:tabs>
        <w:ind w:left="709" w:hanging="709"/>
      </w:pPr>
      <w:rPr>
        <w:rFonts w:hint="default"/>
      </w:rPr>
    </w:lvl>
    <w:lvl w:ilvl="3" w:tentative="0">
      <w:start w:val="1"/>
      <w:numFmt w:val="lowerLetter"/>
      <w:pStyle w:val="6"/>
      <w:lvlText w:val="(%4)"/>
      <w:lvlJc w:val="left"/>
      <w:pPr>
        <w:tabs>
          <w:tab w:val="left" w:pos="1418"/>
        </w:tabs>
        <w:ind w:left="1418" w:hanging="709"/>
      </w:pPr>
      <w:rPr>
        <w:rFonts w:hint="default"/>
      </w:rPr>
    </w:lvl>
    <w:lvl w:ilvl="4" w:tentative="0">
      <w:start w:val="1"/>
      <w:numFmt w:val="lowerRoman"/>
      <w:pStyle w:val="7"/>
      <w:lvlText w:val="(%5)"/>
      <w:lvlJc w:val="left"/>
      <w:pPr>
        <w:tabs>
          <w:tab w:val="left" w:pos="2126"/>
        </w:tabs>
        <w:ind w:left="2126" w:hanging="708"/>
      </w:pPr>
      <w:rPr>
        <w:rFonts w:hint="default"/>
      </w:rPr>
    </w:lvl>
    <w:lvl w:ilvl="5" w:tentative="0">
      <w:start w:val="1"/>
      <w:numFmt w:val="upperLetter"/>
      <w:pStyle w:val="8"/>
      <w:lvlText w:val="(%6)"/>
      <w:lvlJc w:val="left"/>
      <w:pPr>
        <w:tabs>
          <w:tab w:val="left" w:pos="2835"/>
        </w:tabs>
        <w:ind w:left="2835" w:hanging="709"/>
      </w:pPr>
      <w:rPr>
        <w:rFonts w:hint="default"/>
      </w:rPr>
    </w:lvl>
    <w:lvl w:ilvl="6" w:tentative="0">
      <w:start w:val="1"/>
      <w:numFmt w:val="decimal"/>
      <w:pStyle w:val="9"/>
      <w:lvlText w:val="(%7)"/>
      <w:lvlJc w:val="left"/>
      <w:pPr>
        <w:tabs>
          <w:tab w:val="left" w:pos="2835"/>
        </w:tabs>
        <w:ind w:left="3544" w:hanging="709"/>
      </w:pPr>
      <w:rPr>
        <w:rFonts w:hint="default"/>
      </w:rPr>
    </w:lvl>
    <w:lvl w:ilvl="7" w:tentative="0">
      <w:start w:val="1"/>
      <w:numFmt w:val="none"/>
      <w:lvlRestart w:val="0"/>
      <w:suff w:val="nothing"/>
      <w:lvlText w:val=""/>
      <w:lvlJc w:val="left"/>
      <w:pPr>
        <w:ind w:left="0" w:firstLine="0"/>
      </w:pPr>
      <w:rPr>
        <w:rFonts w:hint="default"/>
      </w:rPr>
    </w:lvl>
    <w:lvl w:ilvl="8" w:tentative="0">
      <w:start w:val="1"/>
      <w:numFmt w:val="none"/>
      <w:lvlRestart w:val="0"/>
      <w:suff w:val="nothing"/>
      <w:lvlText w:val=""/>
      <w:lvlJc w:val="left"/>
      <w:pPr>
        <w:ind w:left="0" w:firstLine="0"/>
      </w:pPr>
      <w:rPr>
        <w:rFonts w:hint="default"/>
      </w:rPr>
    </w:lvl>
  </w:abstractNum>
  <w:abstractNum w:abstractNumId="4">
    <w:nsid w:val="517C537A"/>
    <w:multiLevelType w:val="multilevel"/>
    <w:tmpl w:val="517C537A"/>
    <w:lvl w:ilvl="0" w:tentative="0">
      <w:start w:val="1"/>
      <w:numFmt w:val="none"/>
      <w:pStyle w:val="56"/>
      <w:suff w:val="nothing"/>
      <w:lvlText w:val=""/>
      <w:lvlJc w:val="left"/>
      <w:pPr>
        <w:ind w:left="709" w:firstLine="0"/>
      </w:pPr>
      <w:rPr>
        <w:rFonts w:hint="default"/>
      </w:rPr>
    </w:lvl>
    <w:lvl w:ilvl="1" w:tentative="0">
      <w:start w:val="1"/>
      <w:numFmt w:val="lowerLetter"/>
      <w:lvlText w:val="(%2)"/>
      <w:lvlJc w:val="left"/>
      <w:pPr>
        <w:tabs>
          <w:tab w:val="left" w:pos="1418"/>
        </w:tabs>
        <w:ind w:left="1418" w:hanging="709"/>
      </w:pPr>
      <w:rPr>
        <w:rFonts w:hint="default"/>
      </w:rPr>
    </w:lvl>
    <w:lvl w:ilvl="2" w:tentative="0">
      <w:start w:val="1"/>
      <w:numFmt w:val="lowerRoman"/>
      <w:lvlText w:val="(%3)"/>
      <w:lvlJc w:val="left"/>
      <w:pPr>
        <w:tabs>
          <w:tab w:val="left" w:pos="2126"/>
        </w:tabs>
        <w:ind w:left="2126" w:hanging="708"/>
      </w:pPr>
      <w:rPr>
        <w:rFonts w:hint="default"/>
      </w:rPr>
    </w:lvl>
    <w:lvl w:ilvl="3" w:tentative="0">
      <w:start w:val="1"/>
      <w:numFmt w:val="upperLetter"/>
      <w:lvlText w:val="(%4)"/>
      <w:lvlJc w:val="left"/>
      <w:pPr>
        <w:tabs>
          <w:tab w:val="left" w:pos="2835"/>
        </w:tabs>
        <w:ind w:left="2835" w:hanging="709"/>
      </w:pPr>
      <w:rPr>
        <w:rFonts w:hint="default"/>
      </w:rPr>
    </w:lvl>
    <w:lvl w:ilvl="4" w:tentative="0">
      <w:start w:val="1"/>
      <w:numFmt w:val="none"/>
      <w:lvlRestart w:val="0"/>
      <w:suff w:val="nothing"/>
      <w:lvlText w:val=""/>
      <w:lvlJc w:val="left"/>
      <w:pPr>
        <w:ind w:left="0" w:firstLine="0"/>
      </w:pPr>
      <w:rPr>
        <w:rFonts w:hint="default"/>
      </w:rPr>
    </w:lvl>
    <w:lvl w:ilvl="5" w:tentative="0">
      <w:start w:val="1"/>
      <w:numFmt w:val="none"/>
      <w:lvlRestart w:val="0"/>
      <w:suff w:val="nothing"/>
      <w:lvlText w:val=""/>
      <w:lvlJc w:val="left"/>
      <w:pPr>
        <w:ind w:left="0" w:firstLine="0"/>
      </w:pPr>
      <w:rPr>
        <w:rFonts w:hint="default"/>
      </w:rPr>
    </w:lvl>
    <w:lvl w:ilvl="6" w:tentative="0">
      <w:start w:val="1"/>
      <w:numFmt w:val="none"/>
      <w:lvlRestart w:val="0"/>
      <w:suff w:val="nothing"/>
      <w:lvlText w:val="."/>
      <w:lvlJc w:val="left"/>
      <w:pPr>
        <w:ind w:left="0" w:firstLine="0"/>
      </w:pPr>
      <w:rPr>
        <w:rFonts w:hint="default"/>
      </w:rPr>
    </w:lvl>
    <w:lvl w:ilvl="7" w:tentative="0">
      <w:start w:val="1"/>
      <w:numFmt w:val="none"/>
      <w:lvlRestart w:val="0"/>
      <w:suff w:val="nothing"/>
      <w:lvlText w:val=""/>
      <w:lvlJc w:val="left"/>
      <w:pPr>
        <w:ind w:left="0" w:firstLine="0"/>
      </w:pPr>
      <w:rPr>
        <w:rFonts w:hint="default"/>
      </w:rPr>
    </w:lvl>
    <w:lvl w:ilvl="8" w:tentative="0">
      <w:start w:val="1"/>
      <w:numFmt w:val="none"/>
      <w:lvlRestart w:val="0"/>
      <w:suff w:val="nothing"/>
      <w:lvlText w:val=""/>
      <w:lvlJc w:val="left"/>
      <w:pPr>
        <w:ind w:left="0" w:firstLine="0"/>
      </w:pPr>
      <w:rPr>
        <w:rFonts w:hint="default"/>
      </w:rPr>
    </w:lvl>
  </w:abstractNum>
  <w:num w:numId="1">
    <w:abstractNumId w:val="3"/>
  </w:num>
  <w:num w:numId="2">
    <w:abstractNumId w:val="2"/>
  </w:num>
  <w:num w:numId="3">
    <w:abstractNumId w:val="4"/>
  </w:num>
  <w:num w:numId="4">
    <w:abstractNumId w:val="1"/>
  </w:num>
  <w:num w:numId="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80"/>
  <w:bordersDoNotSurroundHeader w:val="true"/>
  <w:bordersDoNotSurroundFooter w:val="true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OfficeIni" w:val="Hong Kong (HH) - ENGLISH.ini"/>
  </w:docVars>
  <w:rsids>
    <w:rsidRoot w:val="001F47B9"/>
    <w:rsid w:val="000220BD"/>
    <w:rsid w:val="00022F43"/>
    <w:rsid w:val="0003385D"/>
    <w:rsid w:val="00050795"/>
    <w:rsid w:val="00050FA6"/>
    <w:rsid w:val="000859DC"/>
    <w:rsid w:val="000A621D"/>
    <w:rsid w:val="000B10D9"/>
    <w:rsid w:val="000B5459"/>
    <w:rsid w:val="000E4355"/>
    <w:rsid w:val="000F7D55"/>
    <w:rsid w:val="001207DA"/>
    <w:rsid w:val="00124EC6"/>
    <w:rsid w:val="00135D5C"/>
    <w:rsid w:val="00157701"/>
    <w:rsid w:val="00157B9B"/>
    <w:rsid w:val="001639E5"/>
    <w:rsid w:val="001832C1"/>
    <w:rsid w:val="00185CE5"/>
    <w:rsid w:val="00195846"/>
    <w:rsid w:val="001A16A6"/>
    <w:rsid w:val="001A5EAE"/>
    <w:rsid w:val="001C4FF6"/>
    <w:rsid w:val="001E153E"/>
    <w:rsid w:val="001F3176"/>
    <w:rsid w:val="001F47B9"/>
    <w:rsid w:val="002275A7"/>
    <w:rsid w:val="002346D2"/>
    <w:rsid w:val="00254B3A"/>
    <w:rsid w:val="00270FDF"/>
    <w:rsid w:val="002A41DD"/>
    <w:rsid w:val="002A641E"/>
    <w:rsid w:val="002B1237"/>
    <w:rsid w:val="002D13D2"/>
    <w:rsid w:val="0036260B"/>
    <w:rsid w:val="00364C07"/>
    <w:rsid w:val="00374F0D"/>
    <w:rsid w:val="003B26DC"/>
    <w:rsid w:val="003B48A0"/>
    <w:rsid w:val="003D70DF"/>
    <w:rsid w:val="00402716"/>
    <w:rsid w:val="00402C67"/>
    <w:rsid w:val="004069E9"/>
    <w:rsid w:val="004569FC"/>
    <w:rsid w:val="0047190C"/>
    <w:rsid w:val="0047501F"/>
    <w:rsid w:val="00491C26"/>
    <w:rsid w:val="004A2755"/>
    <w:rsid w:val="004A765B"/>
    <w:rsid w:val="004B3990"/>
    <w:rsid w:val="004C15A9"/>
    <w:rsid w:val="004D22A4"/>
    <w:rsid w:val="004E6CB4"/>
    <w:rsid w:val="00510B7F"/>
    <w:rsid w:val="00511155"/>
    <w:rsid w:val="00553578"/>
    <w:rsid w:val="00562B32"/>
    <w:rsid w:val="005A7492"/>
    <w:rsid w:val="005B195B"/>
    <w:rsid w:val="005D1ED6"/>
    <w:rsid w:val="005D7C26"/>
    <w:rsid w:val="005F20F1"/>
    <w:rsid w:val="00601F19"/>
    <w:rsid w:val="00626588"/>
    <w:rsid w:val="00630C55"/>
    <w:rsid w:val="006332EB"/>
    <w:rsid w:val="00682E51"/>
    <w:rsid w:val="0068464C"/>
    <w:rsid w:val="00685F0F"/>
    <w:rsid w:val="00687BDE"/>
    <w:rsid w:val="006A68B9"/>
    <w:rsid w:val="006D06FC"/>
    <w:rsid w:val="006D17FD"/>
    <w:rsid w:val="006D28B8"/>
    <w:rsid w:val="006F26F6"/>
    <w:rsid w:val="007029E4"/>
    <w:rsid w:val="007115CA"/>
    <w:rsid w:val="007151DE"/>
    <w:rsid w:val="00715D06"/>
    <w:rsid w:val="007209BE"/>
    <w:rsid w:val="00740FFB"/>
    <w:rsid w:val="00742413"/>
    <w:rsid w:val="00762AD9"/>
    <w:rsid w:val="00773BE3"/>
    <w:rsid w:val="00786CFB"/>
    <w:rsid w:val="007B74FB"/>
    <w:rsid w:val="007B771E"/>
    <w:rsid w:val="007E6879"/>
    <w:rsid w:val="007F3C7C"/>
    <w:rsid w:val="00802635"/>
    <w:rsid w:val="00805E7E"/>
    <w:rsid w:val="0081203F"/>
    <w:rsid w:val="0082270F"/>
    <w:rsid w:val="00823405"/>
    <w:rsid w:val="0082555F"/>
    <w:rsid w:val="00837489"/>
    <w:rsid w:val="008506F3"/>
    <w:rsid w:val="00865674"/>
    <w:rsid w:val="00896128"/>
    <w:rsid w:val="008B5F71"/>
    <w:rsid w:val="008C7F09"/>
    <w:rsid w:val="008D0B5D"/>
    <w:rsid w:val="00930F76"/>
    <w:rsid w:val="009447D6"/>
    <w:rsid w:val="00957801"/>
    <w:rsid w:val="009675DC"/>
    <w:rsid w:val="0098177B"/>
    <w:rsid w:val="00990A95"/>
    <w:rsid w:val="009E05A4"/>
    <w:rsid w:val="00A00E26"/>
    <w:rsid w:val="00A01966"/>
    <w:rsid w:val="00A11743"/>
    <w:rsid w:val="00A13888"/>
    <w:rsid w:val="00A51A6D"/>
    <w:rsid w:val="00AB1577"/>
    <w:rsid w:val="00AC1F42"/>
    <w:rsid w:val="00AD14A3"/>
    <w:rsid w:val="00B7642F"/>
    <w:rsid w:val="00B90901"/>
    <w:rsid w:val="00BA075C"/>
    <w:rsid w:val="00BB0A82"/>
    <w:rsid w:val="00BB62F2"/>
    <w:rsid w:val="00BC7676"/>
    <w:rsid w:val="00C037AB"/>
    <w:rsid w:val="00C151B4"/>
    <w:rsid w:val="00C3606E"/>
    <w:rsid w:val="00C36C3A"/>
    <w:rsid w:val="00C75AEF"/>
    <w:rsid w:val="00C94FAB"/>
    <w:rsid w:val="00CA5E5B"/>
    <w:rsid w:val="00CD6FF9"/>
    <w:rsid w:val="00D00199"/>
    <w:rsid w:val="00D335B2"/>
    <w:rsid w:val="00D33950"/>
    <w:rsid w:val="00D367CD"/>
    <w:rsid w:val="00D869E6"/>
    <w:rsid w:val="00DB6C9A"/>
    <w:rsid w:val="00DB7635"/>
    <w:rsid w:val="00DD0DB5"/>
    <w:rsid w:val="00E15658"/>
    <w:rsid w:val="00EC6C61"/>
    <w:rsid w:val="00EE0D51"/>
    <w:rsid w:val="00EF3286"/>
    <w:rsid w:val="00EF4929"/>
    <w:rsid w:val="00F278C8"/>
    <w:rsid w:val="00F31C10"/>
    <w:rsid w:val="00F40EE2"/>
    <w:rsid w:val="00F4428F"/>
    <w:rsid w:val="00F53E29"/>
    <w:rsid w:val="00FA77E8"/>
    <w:rsid w:val="00FC38B2"/>
    <w:rsid w:val="00FD6EDD"/>
    <w:rsid w:val="00FF39FA"/>
    <w:rsid w:val="ED7FFBB8"/>
    <w:rsid w:val="EF9FE8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nhideWhenUsed="0" w:uiPriority="0" w:semiHidden="0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nhideWhenUsed="0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qFormat="1" w:unhideWhenUsed="0"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qFormat="1" w:unhideWhenUsed="0" w:uiPriority="7" w:semiHidden="0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qFormat="1" w:unhideWhenUsed="0" w:uiPriority="7" w:semiHidden="0" w:name="List Number 2"/>
    <w:lsdException w:qFormat="1" w:unhideWhenUsed="0" w:uiPriority="7" w:semiHidden="0" w:name="List Number 3"/>
    <w:lsdException w:qFormat="1" w:unhideWhenUsed="0" w:uiPriority="7" w:semiHidden="0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nhideWhenUsed="0" w:uiPriority="6" w:name="Hyperlink"/>
    <w:lsdException w:qFormat="1" w:uiPriority="0" w:semiHidden="0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styleId="2">
    <w:name w:val="heading 1"/>
    <w:basedOn w:val="1"/>
    <w:next w:val="3"/>
    <w:link w:val="69"/>
    <w:qFormat/>
    <w:uiPriority w:val="0"/>
    <w:pPr>
      <w:keepNext/>
      <w:widowControl/>
      <w:numPr>
        <w:ilvl w:val="0"/>
        <w:numId w:val="1"/>
      </w:numPr>
      <w:spacing w:after="180" w:line="260" w:lineRule="atLeast"/>
      <w:jc w:val="left"/>
      <w:outlineLvl w:val="0"/>
    </w:pPr>
    <w:rPr>
      <w:rFonts w:asciiTheme="majorHAnsi" w:hAnsiTheme="majorHAnsi" w:eastAsiaTheme="majorEastAsia" w:cstheme="majorHAnsi"/>
      <w:b/>
      <w:bCs/>
      <w:kern w:val="0"/>
      <w:sz w:val="22"/>
      <w:szCs w:val="28"/>
    </w:rPr>
  </w:style>
  <w:style w:type="paragraph" w:styleId="4">
    <w:name w:val="heading 2"/>
    <w:basedOn w:val="1"/>
    <w:next w:val="3"/>
    <w:link w:val="70"/>
    <w:qFormat/>
    <w:uiPriority w:val="0"/>
    <w:pPr>
      <w:keepNext/>
      <w:widowControl/>
      <w:numPr>
        <w:ilvl w:val="1"/>
        <w:numId w:val="1"/>
      </w:numPr>
      <w:spacing w:after="180" w:line="260" w:lineRule="atLeast"/>
      <w:jc w:val="left"/>
      <w:outlineLvl w:val="1"/>
    </w:pPr>
    <w:rPr>
      <w:rFonts w:asciiTheme="majorHAnsi" w:hAnsiTheme="majorHAnsi" w:eastAsiaTheme="majorEastAsia" w:cstheme="majorHAnsi"/>
      <w:b/>
      <w:bCs/>
      <w:kern w:val="0"/>
      <w:sz w:val="22"/>
      <w:szCs w:val="28"/>
    </w:rPr>
  </w:style>
  <w:style w:type="paragraph" w:styleId="5">
    <w:name w:val="heading 3"/>
    <w:basedOn w:val="1"/>
    <w:next w:val="1"/>
    <w:link w:val="71"/>
    <w:qFormat/>
    <w:uiPriority w:val="0"/>
    <w:pPr>
      <w:widowControl/>
      <w:numPr>
        <w:ilvl w:val="2"/>
        <w:numId w:val="1"/>
      </w:numPr>
      <w:spacing w:after="180" w:line="260" w:lineRule="atLeast"/>
      <w:jc w:val="left"/>
      <w:outlineLvl w:val="2"/>
    </w:pPr>
    <w:rPr>
      <w:kern w:val="0"/>
      <w:sz w:val="22"/>
      <w:szCs w:val="28"/>
    </w:rPr>
  </w:style>
  <w:style w:type="paragraph" w:styleId="6">
    <w:name w:val="heading 4"/>
    <w:basedOn w:val="1"/>
    <w:next w:val="1"/>
    <w:link w:val="72"/>
    <w:qFormat/>
    <w:uiPriority w:val="0"/>
    <w:pPr>
      <w:widowControl/>
      <w:numPr>
        <w:ilvl w:val="3"/>
        <w:numId w:val="1"/>
      </w:numPr>
      <w:spacing w:after="180" w:line="260" w:lineRule="atLeast"/>
      <w:jc w:val="left"/>
      <w:outlineLvl w:val="3"/>
    </w:pPr>
    <w:rPr>
      <w:kern w:val="0"/>
      <w:sz w:val="22"/>
      <w:szCs w:val="28"/>
    </w:rPr>
  </w:style>
  <w:style w:type="paragraph" w:styleId="7">
    <w:name w:val="heading 5"/>
    <w:basedOn w:val="1"/>
    <w:next w:val="1"/>
    <w:link w:val="73"/>
    <w:qFormat/>
    <w:uiPriority w:val="0"/>
    <w:pPr>
      <w:widowControl/>
      <w:numPr>
        <w:ilvl w:val="4"/>
        <w:numId w:val="1"/>
      </w:numPr>
      <w:spacing w:after="180" w:line="260" w:lineRule="atLeast"/>
      <w:jc w:val="left"/>
      <w:outlineLvl w:val="4"/>
    </w:pPr>
    <w:rPr>
      <w:kern w:val="0"/>
      <w:sz w:val="22"/>
      <w:szCs w:val="28"/>
    </w:rPr>
  </w:style>
  <w:style w:type="paragraph" w:styleId="8">
    <w:name w:val="heading 6"/>
    <w:basedOn w:val="1"/>
    <w:next w:val="1"/>
    <w:link w:val="74"/>
    <w:qFormat/>
    <w:uiPriority w:val="0"/>
    <w:pPr>
      <w:widowControl/>
      <w:numPr>
        <w:ilvl w:val="5"/>
        <w:numId w:val="1"/>
      </w:numPr>
      <w:spacing w:after="180" w:line="260" w:lineRule="atLeast"/>
      <w:jc w:val="left"/>
      <w:outlineLvl w:val="5"/>
    </w:pPr>
    <w:rPr>
      <w:kern w:val="0"/>
      <w:sz w:val="22"/>
      <w:szCs w:val="28"/>
    </w:rPr>
  </w:style>
  <w:style w:type="paragraph" w:styleId="9">
    <w:name w:val="heading 7"/>
    <w:basedOn w:val="1"/>
    <w:next w:val="1"/>
    <w:link w:val="75"/>
    <w:qFormat/>
    <w:uiPriority w:val="0"/>
    <w:pPr>
      <w:widowControl/>
      <w:numPr>
        <w:ilvl w:val="6"/>
        <w:numId w:val="1"/>
      </w:numPr>
      <w:spacing w:after="180" w:line="260" w:lineRule="atLeast"/>
      <w:jc w:val="left"/>
      <w:outlineLvl w:val="6"/>
    </w:pPr>
    <w:rPr>
      <w:kern w:val="0"/>
      <w:sz w:val="22"/>
      <w:szCs w:val="28"/>
    </w:rPr>
  </w:style>
  <w:style w:type="character" w:default="1" w:styleId="18">
    <w:name w:val="Default Paragraph Font"/>
    <w:semiHidden/>
    <w:unhideWhenUsed/>
    <w:qFormat/>
    <w:uiPriority w:val="1"/>
  </w:style>
  <w:style w:type="table" w:default="1" w:styleId="16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ody Text"/>
    <w:basedOn w:val="1"/>
    <w:link w:val="51"/>
    <w:semiHidden/>
    <w:unhideWhenUsed/>
    <w:qFormat/>
    <w:uiPriority w:val="99"/>
    <w:pPr>
      <w:widowControl/>
      <w:spacing w:after="120"/>
      <w:jc w:val="left"/>
    </w:pPr>
    <w:rPr>
      <w:kern w:val="0"/>
      <w:sz w:val="22"/>
      <w:szCs w:val="28"/>
    </w:rPr>
  </w:style>
  <w:style w:type="paragraph" w:styleId="10">
    <w:name w:val="List Number 2"/>
    <w:basedOn w:val="1"/>
    <w:qFormat/>
    <w:uiPriority w:val="7"/>
    <w:pPr>
      <w:widowControl/>
      <w:numPr>
        <w:ilvl w:val="1"/>
        <w:numId w:val="2"/>
      </w:numPr>
      <w:spacing w:after="180" w:line="260" w:lineRule="atLeast"/>
      <w:jc w:val="left"/>
    </w:pPr>
    <w:rPr>
      <w:kern w:val="0"/>
      <w:sz w:val="22"/>
      <w:szCs w:val="28"/>
    </w:rPr>
  </w:style>
  <w:style w:type="paragraph" w:styleId="11">
    <w:name w:val="List Number"/>
    <w:basedOn w:val="1"/>
    <w:qFormat/>
    <w:uiPriority w:val="7"/>
    <w:pPr>
      <w:widowControl/>
      <w:numPr>
        <w:ilvl w:val="0"/>
        <w:numId w:val="2"/>
      </w:numPr>
      <w:spacing w:after="180" w:line="260" w:lineRule="atLeast"/>
      <w:jc w:val="left"/>
    </w:pPr>
    <w:rPr>
      <w:kern w:val="0"/>
      <w:sz w:val="22"/>
      <w:szCs w:val="28"/>
    </w:rPr>
  </w:style>
  <w:style w:type="paragraph" w:styleId="12">
    <w:name w:val="List Number 3"/>
    <w:basedOn w:val="1"/>
    <w:qFormat/>
    <w:uiPriority w:val="7"/>
    <w:pPr>
      <w:widowControl/>
      <w:numPr>
        <w:ilvl w:val="2"/>
        <w:numId w:val="2"/>
      </w:numPr>
      <w:spacing w:after="180" w:line="260" w:lineRule="atLeast"/>
      <w:jc w:val="left"/>
    </w:pPr>
    <w:rPr>
      <w:kern w:val="0"/>
      <w:sz w:val="22"/>
      <w:szCs w:val="28"/>
    </w:rPr>
  </w:style>
  <w:style w:type="paragraph" w:styleId="13">
    <w:name w:val="List Number 4"/>
    <w:basedOn w:val="1"/>
    <w:qFormat/>
    <w:uiPriority w:val="7"/>
    <w:pPr>
      <w:widowControl/>
      <w:numPr>
        <w:ilvl w:val="3"/>
        <w:numId w:val="2"/>
      </w:numPr>
      <w:spacing w:after="180" w:line="260" w:lineRule="atLeast"/>
      <w:jc w:val="left"/>
    </w:pPr>
    <w:rPr>
      <w:kern w:val="0"/>
      <w:sz w:val="22"/>
      <w:szCs w:val="28"/>
    </w:rPr>
  </w:style>
  <w:style w:type="paragraph" w:styleId="14">
    <w:name w:val="footer"/>
    <w:basedOn w:val="1"/>
    <w:link w:val="42"/>
    <w:qFormat/>
    <w:uiPriority w:val="99"/>
    <w:pPr>
      <w:widowControl/>
      <w:tabs>
        <w:tab w:val="right" w:pos="9350"/>
      </w:tabs>
      <w:spacing w:line="200" w:lineRule="atLeast"/>
      <w:jc w:val="left"/>
    </w:pPr>
    <w:rPr>
      <w:rFonts w:asciiTheme="majorHAnsi" w:hAnsiTheme="majorHAnsi" w:eastAsiaTheme="majorEastAsia" w:cstheme="majorHAnsi"/>
      <w:kern w:val="0"/>
      <w:sz w:val="16"/>
      <w:szCs w:val="28"/>
    </w:rPr>
  </w:style>
  <w:style w:type="paragraph" w:styleId="15">
    <w:name w:val="header"/>
    <w:basedOn w:val="1"/>
    <w:link w:val="77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17">
    <w:name w:val="Table Grid"/>
    <w:basedOn w:val="16"/>
    <w:qFormat/>
    <w:uiPriority w:val="3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9">
    <w:name w:val="page number"/>
    <w:basedOn w:val="18"/>
    <w:semiHidden/>
    <w:qFormat/>
    <w:uiPriority w:val="99"/>
    <w:rPr>
      <w:szCs w:val="16"/>
    </w:rPr>
  </w:style>
  <w:style w:type="character" w:styleId="20">
    <w:name w:val="FollowedHyperlink"/>
    <w:basedOn w:val="18"/>
    <w:unhideWhenUsed/>
    <w:qFormat/>
    <w:uiPriority w:val="0"/>
    <w:rPr>
      <w:color w:val="800080"/>
      <w:u w:val="single"/>
    </w:rPr>
  </w:style>
  <w:style w:type="character" w:styleId="21">
    <w:name w:val="Hyperlink"/>
    <w:semiHidden/>
    <w:qFormat/>
    <w:uiPriority w:val="6"/>
    <w:rPr>
      <w:color w:val="0000FF"/>
      <w:u w:val="single"/>
    </w:rPr>
  </w:style>
  <w:style w:type="paragraph" w:customStyle="1" w:styleId="22">
    <w:name w:val="Bullet 1"/>
    <w:basedOn w:val="1"/>
    <w:qFormat/>
    <w:uiPriority w:val="8"/>
    <w:pPr>
      <w:widowControl/>
      <w:spacing w:after="180" w:line="260" w:lineRule="atLeast"/>
      <w:jc w:val="left"/>
    </w:pPr>
    <w:rPr>
      <w:kern w:val="0"/>
      <w:sz w:val="22"/>
      <w:szCs w:val="28"/>
    </w:rPr>
  </w:style>
  <w:style w:type="paragraph" w:customStyle="1" w:styleId="23">
    <w:name w:val="Bullet 2"/>
    <w:basedOn w:val="1"/>
    <w:qFormat/>
    <w:uiPriority w:val="8"/>
    <w:pPr>
      <w:widowControl/>
      <w:spacing w:line="260" w:lineRule="atLeast"/>
      <w:jc w:val="left"/>
    </w:pPr>
    <w:rPr>
      <w:kern w:val="0"/>
      <w:sz w:val="22"/>
      <w:szCs w:val="28"/>
    </w:rPr>
  </w:style>
  <w:style w:type="paragraph" w:customStyle="1" w:styleId="24">
    <w:name w:val="BMK Address Info"/>
    <w:link w:val="25"/>
    <w:semiHidden/>
    <w:qFormat/>
    <w:uiPriority w:val="0"/>
    <w:rPr>
      <w:rFonts w:ascii="Arial" w:hAnsi="Arial" w:eastAsia="PMingLiU" w:cstheme="minorBidi"/>
      <w:kern w:val="0"/>
      <w:sz w:val="16"/>
      <w:szCs w:val="22"/>
      <w:lang w:val="en-AU" w:eastAsia="zh-CN" w:bidi="ar-SA"/>
    </w:rPr>
  </w:style>
  <w:style w:type="character" w:customStyle="1" w:styleId="25">
    <w:name w:val="BMK Address Info Char"/>
    <w:link w:val="24"/>
    <w:semiHidden/>
    <w:qFormat/>
    <w:uiPriority w:val="0"/>
    <w:rPr>
      <w:rFonts w:ascii="Arial" w:hAnsi="Arial" w:eastAsia="PMingLiU"/>
      <w:kern w:val="0"/>
      <w:sz w:val="16"/>
      <w:lang w:val="en-AU"/>
    </w:rPr>
  </w:style>
  <w:style w:type="paragraph" w:customStyle="1" w:styleId="26">
    <w:name w:val="BMK Address1"/>
    <w:basedOn w:val="1"/>
    <w:semiHidden/>
    <w:qFormat/>
    <w:uiPriority w:val="0"/>
    <w:pPr>
      <w:widowControl/>
      <w:spacing w:line="260" w:lineRule="atLeast"/>
      <w:jc w:val="left"/>
    </w:pPr>
    <w:rPr>
      <w:kern w:val="0"/>
      <w:sz w:val="22"/>
      <w:szCs w:val="28"/>
    </w:rPr>
  </w:style>
  <w:style w:type="paragraph" w:customStyle="1" w:styleId="27">
    <w:name w:val="BMK Attention"/>
    <w:basedOn w:val="1"/>
    <w:semiHidden/>
    <w:qFormat/>
    <w:uiPriority w:val="0"/>
    <w:pPr>
      <w:spacing w:line="260" w:lineRule="atLeast"/>
    </w:pPr>
  </w:style>
  <w:style w:type="paragraph" w:customStyle="1" w:styleId="28">
    <w:name w:val="BMK Cities"/>
    <w:semiHidden/>
    <w:qFormat/>
    <w:uiPriority w:val="0"/>
    <w:rPr>
      <w:rFonts w:ascii="Arial" w:hAnsi="Arial" w:eastAsia="PMingLiU" w:cstheme="minorBidi"/>
      <w:spacing w:val="2"/>
      <w:kern w:val="0"/>
      <w:sz w:val="11"/>
      <w:szCs w:val="11"/>
      <w:lang w:val="en-AU" w:eastAsia="zh-CN" w:bidi="ar-SA"/>
    </w:rPr>
  </w:style>
  <w:style w:type="paragraph" w:customStyle="1" w:styleId="29">
    <w:name w:val="BMK Cities Space"/>
    <w:basedOn w:val="28"/>
    <w:semiHidden/>
    <w:qFormat/>
    <w:uiPriority w:val="0"/>
  </w:style>
  <w:style w:type="paragraph" w:customStyle="1" w:styleId="30">
    <w:name w:val="BMK Delivery Phrase"/>
    <w:basedOn w:val="24"/>
    <w:semiHidden/>
    <w:qFormat/>
    <w:uiPriority w:val="0"/>
    <w:pPr>
      <w:framePr w:w="2943" w:h="1734" w:hRule="exact" w:wrap="around" w:vAnchor="text" w:hAnchor="page" w:x="8533" w:y="208"/>
    </w:pPr>
    <w:rPr>
      <w:b/>
    </w:rPr>
  </w:style>
  <w:style w:type="paragraph" w:customStyle="1" w:styleId="31">
    <w:name w:val="BMK Document Name"/>
    <w:basedOn w:val="1"/>
    <w:next w:val="1"/>
    <w:semiHidden/>
    <w:qFormat/>
    <w:uiPriority w:val="0"/>
    <w:pPr>
      <w:tabs>
        <w:tab w:val="left" w:pos="2761"/>
        <w:tab w:val="left" w:pos="3470"/>
        <w:tab w:val="left" w:pos="4179"/>
        <w:tab w:val="left" w:pos="4888"/>
        <w:tab w:val="right" w:pos="9849"/>
      </w:tabs>
      <w:spacing w:line="200" w:lineRule="atLeast"/>
    </w:pPr>
    <w:rPr>
      <w:rFonts w:ascii="Arial Black" w:hAnsi="Arial Black"/>
      <w:b/>
      <w:bCs/>
      <w:sz w:val="18"/>
    </w:rPr>
  </w:style>
  <w:style w:type="paragraph" w:customStyle="1" w:styleId="32">
    <w:name w:val="BMK Document Name HK"/>
    <w:basedOn w:val="1"/>
    <w:next w:val="1"/>
    <w:semiHidden/>
    <w:qFormat/>
    <w:uiPriority w:val="0"/>
    <w:pPr>
      <w:spacing w:line="200" w:lineRule="atLeast"/>
    </w:pPr>
    <w:rPr>
      <w:rFonts w:ascii="Arial Black" w:hAnsi="Arial Black" w:eastAsiaTheme="majorEastAsia" w:cstheme="majorHAnsi"/>
      <w:b/>
      <w:sz w:val="18"/>
      <w:szCs w:val="32"/>
    </w:rPr>
  </w:style>
  <w:style w:type="paragraph" w:customStyle="1" w:styleId="33">
    <w:name w:val="BMK Legal Notice Phrase"/>
    <w:basedOn w:val="1"/>
    <w:semiHidden/>
    <w:qFormat/>
    <w:uiPriority w:val="0"/>
    <w:pPr>
      <w:widowControl/>
      <w:spacing w:before="260" w:after="180" w:line="260" w:lineRule="atLeast"/>
      <w:jc w:val="left"/>
    </w:pPr>
    <w:rPr>
      <w:rFonts w:asciiTheme="majorHAnsi" w:hAnsiTheme="majorHAnsi" w:eastAsiaTheme="majorEastAsia" w:cstheme="majorHAnsi"/>
      <w:b/>
      <w:caps/>
      <w:kern w:val="0"/>
      <w:sz w:val="22"/>
      <w:szCs w:val="28"/>
    </w:rPr>
  </w:style>
  <w:style w:type="paragraph" w:customStyle="1" w:styleId="34">
    <w:name w:val="BMK LetterCaption"/>
    <w:basedOn w:val="33"/>
    <w:next w:val="1"/>
    <w:semiHidden/>
    <w:qFormat/>
    <w:uiPriority w:val="0"/>
    <w:pPr>
      <w:spacing w:before="0"/>
    </w:pPr>
  </w:style>
  <w:style w:type="paragraph" w:customStyle="1" w:styleId="35">
    <w:name w:val="BMK Member Firm Name"/>
    <w:basedOn w:val="24"/>
    <w:next w:val="24"/>
    <w:link w:val="36"/>
    <w:semiHidden/>
    <w:qFormat/>
    <w:uiPriority w:val="0"/>
    <w:rPr>
      <w:b/>
      <w:bCs/>
    </w:rPr>
  </w:style>
  <w:style w:type="character" w:customStyle="1" w:styleId="36">
    <w:name w:val="BMK Member Firm Name Char"/>
    <w:link w:val="35"/>
    <w:semiHidden/>
    <w:qFormat/>
    <w:uiPriority w:val="0"/>
    <w:rPr>
      <w:rFonts w:ascii="Arial" w:hAnsi="Arial" w:eastAsia="PMingLiU"/>
      <w:b/>
      <w:bCs/>
      <w:kern w:val="0"/>
      <w:sz w:val="16"/>
      <w:lang w:val="en-AU"/>
    </w:rPr>
  </w:style>
  <w:style w:type="paragraph" w:customStyle="1" w:styleId="37">
    <w:name w:val="BMK Multi Office"/>
    <w:basedOn w:val="1"/>
    <w:next w:val="1"/>
    <w:semiHidden/>
    <w:qFormat/>
    <w:uiPriority w:val="0"/>
    <w:rPr>
      <w:rFonts w:ascii="Arial Black" w:hAnsi="Arial Black" w:eastAsia="PMingLiU"/>
      <w:spacing w:val="2"/>
      <w:sz w:val="11"/>
      <w:szCs w:val="24"/>
    </w:rPr>
  </w:style>
  <w:style w:type="paragraph" w:customStyle="1" w:styleId="38">
    <w:name w:val="BMK Multi Office Address"/>
    <w:basedOn w:val="28"/>
    <w:semiHidden/>
    <w:qFormat/>
    <w:uiPriority w:val="0"/>
  </w:style>
  <w:style w:type="paragraph" w:customStyle="1" w:styleId="39">
    <w:name w:val="BMK Partner List"/>
    <w:basedOn w:val="28"/>
    <w:semiHidden/>
    <w:qFormat/>
    <w:uiPriority w:val="0"/>
    <w:pPr>
      <w:adjustRightInd w:val="0"/>
      <w:snapToGrid w:val="0"/>
      <w:spacing w:after="20"/>
    </w:pPr>
    <w:rPr>
      <w:spacing w:val="0"/>
      <w:sz w:val="10"/>
      <w:szCs w:val="16"/>
    </w:rPr>
  </w:style>
  <w:style w:type="paragraph" w:customStyle="1" w:styleId="40">
    <w:name w:val="BMK Privacy Text"/>
    <w:basedOn w:val="14"/>
    <w:link w:val="41"/>
    <w:semiHidden/>
    <w:qFormat/>
    <w:uiPriority w:val="0"/>
    <w:rPr>
      <w:szCs w:val="22"/>
    </w:rPr>
  </w:style>
  <w:style w:type="character" w:customStyle="1" w:styleId="41">
    <w:name w:val="BMK Privacy Text Char"/>
    <w:link w:val="40"/>
    <w:semiHidden/>
    <w:qFormat/>
    <w:uiPriority w:val="0"/>
    <w:rPr>
      <w:rFonts w:asciiTheme="majorHAnsi" w:hAnsiTheme="majorHAnsi" w:eastAsiaTheme="majorEastAsia" w:cstheme="majorHAnsi"/>
      <w:kern w:val="0"/>
      <w:sz w:val="16"/>
      <w:lang w:val="en-AU"/>
    </w:rPr>
  </w:style>
  <w:style w:type="character" w:customStyle="1" w:styleId="42">
    <w:name w:val="页脚 字符"/>
    <w:link w:val="14"/>
    <w:qFormat/>
    <w:uiPriority w:val="99"/>
    <w:rPr>
      <w:rFonts w:asciiTheme="majorHAnsi" w:hAnsiTheme="majorHAnsi" w:eastAsiaTheme="majorEastAsia" w:cstheme="majorHAnsi"/>
      <w:kern w:val="0"/>
      <w:sz w:val="16"/>
      <w:lang w:val="en-AU"/>
    </w:rPr>
  </w:style>
  <w:style w:type="paragraph" w:customStyle="1" w:styleId="43">
    <w:name w:val="BMK Privacy Title"/>
    <w:basedOn w:val="1"/>
    <w:semiHidden/>
    <w:qFormat/>
    <w:uiPriority w:val="0"/>
    <w:pPr>
      <w:spacing w:before="260" w:after="140" w:line="240" w:lineRule="atLeast"/>
    </w:pPr>
    <w:rPr>
      <w:rFonts w:ascii="Arial Black" w:hAnsi="Arial Black"/>
      <w:sz w:val="18"/>
    </w:rPr>
  </w:style>
  <w:style w:type="paragraph" w:customStyle="1" w:styleId="44">
    <w:name w:val="BMK Qualifier"/>
    <w:semiHidden/>
    <w:qFormat/>
    <w:uiPriority w:val="0"/>
    <w:pPr>
      <w:spacing w:after="200" w:line="170" w:lineRule="atLeast"/>
    </w:pPr>
    <w:rPr>
      <w:rFonts w:eastAsia="PMingLiU" w:asciiTheme="majorHAnsi" w:hAnsiTheme="majorHAnsi" w:cstheme="minorBidi"/>
      <w:caps/>
      <w:kern w:val="0"/>
      <w:sz w:val="13"/>
      <w:szCs w:val="13"/>
      <w:lang w:val="en-AU" w:eastAsia="zh-CN" w:bidi="ar-SA"/>
    </w:rPr>
  </w:style>
  <w:style w:type="paragraph" w:customStyle="1" w:styleId="45">
    <w:name w:val="BMK Recipient1"/>
    <w:basedOn w:val="1"/>
    <w:semiHidden/>
    <w:qFormat/>
    <w:uiPriority w:val="0"/>
    <w:pPr>
      <w:spacing w:line="260" w:lineRule="atLeast"/>
    </w:pPr>
  </w:style>
  <w:style w:type="paragraph" w:customStyle="1" w:styleId="46">
    <w:name w:val="BMK Ref Info"/>
    <w:basedOn w:val="24"/>
    <w:semiHidden/>
    <w:qFormat/>
    <w:uiPriority w:val="0"/>
    <w:pPr>
      <w:framePr w:w="2943" w:h="1734" w:hRule="exact" w:wrap="around" w:vAnchor="text" w:hAnchor="page" w:x="8533" w:y="208"/>
    </w:pPr>
  </w:style>
  <w:style w:type="paragraph" w:customStyle="1" w:styleId="47">
    <w:name w:val="BMK Regions"/>
    <w:basedOn w:val="28"/>
    <w:next w:val="28"/>
    <w:semiHidden/>
    <w:qFormat/>
    <w:uiPriority w:val="0"/>
    <w:rPr>
      <w:rFonts w:ascii="Arial Black" w:hAnsi="Arial Black"/>
      <w:szCs w:val="24"/>
    </w:rPr>
  </w:style>
  <w:style w:type="paragraph" w:customStyle="1" w:styleId="48">
    <w:name w:val="BMK Salutation"/>
    <w:basedOn w:val="1"/>
    <w:semiHidden/>
    <w:qFormat/>
    <w:uiPriority w:val="0"/>
    <w:pPr>
      <w:spacing w:line="260" w:lineRule="atLeast"/>
    </w:pPr>
  </w:style>
  <w:style w:type="paragraph" w:customStyle="1" w:styleId="49">
    <w:name w:val="BMK Subject"/>
    <w:basedOn w:val="1"/>
    <w:semiHidden/>
    <w:qFormat/>
    <w:uiPriority w:val="0"/>
    <w:pPr>
      <w:spacing w:line="260" w:lineRule="atLeast"/>
    </w:pPr>
    <w:rPr>
      <w:rFonts w:asciiTheme="majorHAnsi" w:hAnsiTheme="majorHAnsi" w:eastAsiaTheme="majorEastAsia" w:cstheme="majorHAnsi"/>
      <w:b/>
      <w:bCs/>
    </w:rPr>
  </w:style>
  <w:style w:type="paragraph" w:customStyle="1" w:styleId="50">
    <w:name w:val="BMK Subtitle"/>
    <w:basedOn w:val="1"/>
    <w:next w:val="3"/>
    <w:semiHidden/>
    <w:qFormat/>
    <w:uiPriority w:val="0"/>
    <w:pPr>
      <w:spacing w:after="180" w:line="260" w:lineRule="atLeast"/>
    </w:pPr>
    <w:rPr>
      <w:rFonts w:asciiTheme="majorHAnsi" w:hAnsiTheme="majorHAnsi" w:eastAsiaTheme="majorEastAsia" w:cstheme="majorHAnsi"/>
      <w:sz w:val="32"/>
    </w:rPr>
  </w:style>
  <w:style w:type="character" w:customStyle="1" w:styleId="51">
    <w:name w:val="正文文本 字符"/>
    <w:basedOn w:val="18"/>
    <w:link w:val="3"/>
    <w:semiHidden/>
    <w:qFormat/>
    <w:uiPriority w:val="99"/>
  </w:style>
  <w:style w:type="paragraph" w:customStyle="1" w:styleId="52">
    <w:name w:val="BMK Title"/>
    <w:basedOn w:val="1"/>
    <w:next w:val="3"/>
    <w:semiHidden/>
    <w:qFormat/>
    <w:uiPriority w:val="0"/>
    <w:pPr>
      <w:spacing w:after="180" w:line="260" w:lineRule="atLeast"/>
    </w:pPr>
    <w:rPr>
      <w:rFonts w:asciiTheme="majorHAnsi" w:hAnsiTheme="majorHAnsi" w:eastAsiaTheme="majorEastAsia" w:cstheme="majorHAnsi"/>
      <w:sz w:val="48"/>
    </w:rPr>
  </w:style>
  <w:style w:type="paragraph" w:customStyle="1" w:styleId="53">
    <w:name w:val="BMKDate"/>
    <w:basedOn w:val="1"/>
    <w:semiHidden/>
    <w:qFormat/>
    <w:uiPriority w:val="0"/>
    <w:pPr>
      <w:spacing w:line="260" w:lineRule="atLeast"/>
    </w:pPr>
  </w:style>
  <w:style w:type="paragraph" w:customStyle="1" w:styleId="54">
    <w:name w:val="BMKHeaderLogoSHI"/>
    <w:semiHidden/>
    <w:qFormat/>
    <w:uiPriority w:val="0"/>
    <w:pPr>
      <w:tabs>
        <w:tab w:val="left" w:pos="709"/>
        <w:tab w:val="left" w:pos="1418"/>
        <w:tab w:val="left" w:pos="2126"/>
        <w:tab w:val="left" w:pos="2835"/>
        <w:tab w:val="right" w:pos="7876"/>
      </w:tabs>
      <w:spacing w:after="140" w:line="260" w:lineRule="atLeast"/>
    </w:pPr>
    <w:rPr>
      <w:rFonts w:asciiTheme="minorHAnsi" w:hAnsiTheme="minorHAnsi" w:eastAsiaTheme="minorEastAsia" w:cstheme="minorHAnsi"/>
      <w:kern w:val="0"/>
      <w:sz w:val="22"/>
      <w:szCs w:val="24"/>
      <w:lang w:val="en-AU" w:eastAsia="zh-CN" w:bidi="ar-SA"/>
    </w:rPr>
  </w:style>
  <w:style w:type="character" w:customStyle="1" w:styleId="55">
    <w:name w:val="Definition"/>
    <w:basedOn w:val="18"/>
    <w:qFormat/>
    <w:uiPriority w:val="3"/>
    <w:rPr>
      <w:b/>
      <w:bCs/>
      <w:szCs w:val="28"/>
    </w:rPr>
  </w:style>
  <w:style w:type="paragraph" w:customStyle="1" w:styleId="56">
    <w:name w:val="Definition Paragraph"/>
    <w:basedOn w:val="1"/>
    <w:qFormat/>
    <w:uiPriority w:val="2"/>
    <w:pPr>
      <w:numPr>
        <w:ilvl w:val="0"/>
        <w:numId w:val="3"/>
      </w:numPr>
      <w:spacing w:after="180" w:line="260" w:lineRule="atLeast"/>
    </w:pPr>
  </w:style>
  <w:style w:type="character" w:customStyle="1" w:styleId="57">
    <w:name w:val="DMReference"/>
    <w:basedOn w:val="42"/>
    <w:semiHidden/>
    <w:qFormat/>
    <w:uiPriority w:val="0"/>
    <w:rPr>
      <w:rFonts w:asciiTheme="majorHAnsi" w:hAnsiTheme="majorHAnsi" w:eastAsiaTheme="majorEastAsia" w:cstheme="majorHAnsi"/>
      <w:kern w:val="0"/>
      <w:sz w:val="16"/>
      <w:szCs w:val="16"/>
      <w:lang w:val="en-AU"/>
    </w:rPr>
  </w:style>
  <w:style w:type="paragraph" w:customStyle="1" w:styleId="58">
    <w:name w:val="LetterDetail"/>
    <w:basedOn w:val="1"/>
    <w:semiHidden/>
    <w:qFormat/>
    <w:uiPriority w:val="0"/>
    <w:pPr>
      <w:spacing w:line="260" w:lineRule="atLeast"/>
    </w:pPr>
  </w:style>
  <w:style w:type="paragraph" w:customStyle="1" w:styleId="59">
    <w:name w:val="OtherContact"/>
    <w:basedOn w:val="1"/>
    <w:semiHidden/>
    <w:qFormat/>
    <w:uiPriority w:val="0"/>
    <w:rPr>
      <w:rFonts w:asciiTheme="majorHAnsi" w:hAnsiTheme="majorHAnsi" w:eastAsiaTheme="majorEastAsia" w:cstheme="majorHAnsi"/>
      <w:sz w:val="16"/>
    </w:rPr>
  </w:style>
  <w:style w:type="paragraph" w:customStyle="1" w:styleId="60">
    <w:name w:val="Recital"/>
    <w:basedOn w:val="1"/>
    <w:qFormat/>
    <w:uiPriority w:val="7"/>
    <w:pPr>
      <w:numPr>
        <w:ilvl w:val="0"/>
        <w:numId w:val="4"/>
      </w:numPr>
      <w:spacing w:after="180" w:line="260" w:lineRule="atLeast"/>
    </w:pPr>
    <w:rPr>
      <w:rFonts w:cs="Times New Roman"/>
    </w:rPr>
  </w:style>
  <w:style w:type="paragraph" w:customStyle="1" w:styleId="61">
    <w:name w:val="SchH1"/>
    <w:basedOn w:val="1"/>
    <w:next w:val="3"/>
    <w:qFormat/>
    <w:uiPriority w:val="6"/>
    <w:pPr>
      <w:keepNext/>
      <w:numPr>
        <w:ilvl w:val="0"/>
        <w:numId w:val="5"/>
      </w:numPr>
      <w:spacing w:after="180" w:line="260" w:lineRule="atLeast"/>
    </w:pPr>
    <w:rPr>
      <w:rFonts w:asciiTheme="majorHAnsi" w:hAnsiTheme="majorHAnsi" w:eastAsiaTheme="majorEastAsia" w:cstheme="majorHAnsi"/>
      <w:b/>
      <w:bCs/>
    </w:rPr>
  </w:style>
  <w:style w:type="paragraph" w:customStyle="1" w:styleId="62">
    <w:name w:val="SchH2"/>
    <w:basedOn w:val="1"/>
    <w:next w:val="3"/>
    <w:qFormat/>
    <w:uiPriority w:val="6"/>
    <w:pPr>
      <w:keepNext/>
      <w:widowControl/>
      <w:numPr>
        <w:ilvl w:val="1"/>
        <w:numId w:val="5"/>
      </w:numPr>
      <w:spacing w:after="180" w:line="260" w:lineRule="atLeast"/>
      <w:jc w:val="left"/>
    </w:pPr>
    <w:rPr>
      <w:rFonts w:asciiTheme="majorHAnsi" w:hAnsiTheme="majorHAnsi" w:eastAsiaTheme="majorEastAsia" w:cstheme="majorHAnsi"/>
      <w:b/>
      <w:bCs/>
      <w:kern w:val="0"/>
      <w:sz w:val="22"/>
      <w:szCs w:val="28"/>
    </w:rPr>
  </w:style>
  <w:style w:type="paragraph" w:customStyle="1" w:styleId="63">
    <w:name w:val="SchH3"/>
    <w:basedOn w:val="1"/>
    <w:qFormat/>
    <w:uiPriority w:val="6"/>
    <w:pPr>
      <w:numPr>
        <w:ilvl w:val="2"/>
        <w:numId w:val="5"/>
      </w:numPr>
      <w:spacing w:after="180" w:line="260" w:lineRule="atLeast"/>
    </w:pPr>
  </w:style>
  <w:style w:type="paragraph" w:customStyle="1" w:styleId="64">
    <w:name w:val="SchH4"/>
    <w:basedOn w:val="1"/>
    <w:qFormat/>
    <w:uiPriority w:val="6"/>
    <w:pPr>
      <w:numPr>
        <w:ilvl w:val="3"/>
        <w:numId w:val="5"/>
      </w:numPr>
      <w:spacing w:after="180" w:line="260" w:lineRule="atLeast"/>
    </w:pPr>
  </w:style>
  <w:style w:type="paragraph" w:customStyle="1" w:styleId="65">
    <w:name w:val="SchH5"/>
    <w:basedOn w:val="1"/>
    <w:qFormat/>
    <w:uiPriority w:val="6"/>
    <w:pPr>
      <w:numPr>
        <w:ilvl w:val="4"/>
        <w:numId w:val="5"/>
      </w:numPr>
      <w:spacing w:after="180" w:line="260" w:lineRule="atLeast"/>
    </w:pPr>
  </w:style>
  <w:style w:type="paragraph" w:customStyle="1" w:styleId="66">
    <w:name w:val="SchH6"/>
    <w:basedOn w:val="1"/>
    <w:qFormat/>
    <w:uiPriority w:val="6"/>
    <w:pPr>
      <w:numPr>
        <w:ilvl w:val="5"/>
        <w:numId w:val="5"/>
      </w:numPr>
      <w:spacing w:after="180" w:line="260" w:lineRule="atLeast"/>
    </w:pPr>
  </w:style>
  <w:style w:type="paragraph" w:customStyle="1" w:styleId="67">
    <w:name w:val="SchSH"/>
    <w:basedOn w:val="1"/>
    <w:next w:val="3"/>
    <w:qFormat/>
    <w:uiPriority w:val="6"/>
    <w:pPr>
      <w:keepNext/>
      <w:spacing w:after="180" w:line="260" w:lineRule="atLeast"/>
    </w:pPr>
    <w:rPr>
      <w:rFonts w:asciiTheme="majorHAnsi" w:hAnsiTheme="majorHAnsi" w:eastAsiaTheme="majorEastAsia" w:cstheme="majorHAnsi"/>
      <w:b/>
    </w:rPr>
  </w:style>
  <w:style w:type="paragraph" w:customStyle="1" w:styleId="68">
    <w:name w:val="TOCHeading"/>
    <w:basedOn w:val="1"/>
    <w:next w:val="3"/>
    <w:semiHidden/>
    <w:qFormat/>
    <w:uiPriority w:val="11"/>
    <w:pPr>
      <w:pBdr>
        <w:bottom w:val="single" w:color="auto" w:sz="4" w:space="9"/>
      </w:pBdr>
      <w:spacing w:after="180" w:line="260" w:lineRule="exact"/>
    </w:pPr>
    <w:rPr>
      <w:rFonts w:asciiTheme="majorHAnsi" w:hAnsiTheme="majorHAnsi" w:eastAsiaTheme="majorEastAsia" w:cstheme="majorHAnsi"/>
      <w:b/>
      <w:bCs/>
      <w:sz w:val="24"/>
    </w:rPr>
  </w:style>
  <w:style w:type="character" w:customStyle="1" w:styleId="69">
    <w:name w:val="标题 1 字符"/>
    <w:basedOn w:val="18"/>
    <w:link w:val="2"/>
    <w:qFormat/>
    <w:uiPriority w:val="0"/>
    <w:rPr>
      <w:rFonts w:asciiTheme="majorHAnsi" w:hAnsiTheme="majorHAnsi" w:eastAsiaTheme="majorEastAsia" w:cstheme="majorHAnsi"/>
      <w:b/>
      <w:bCs/>
      <w:kern w:val="0"/>
      <w:sz w:val="22"/>
      <w:szCs w:val="28"/>
      <w:lang w:val="en-AU"/>
    </w:rPr>
  </w:style>
  <w:style w:type="character" w:customStyle="1" w:styleId="70">
    <w:name w:val="标题 2 字符"/>
    <w:basedOn w:val="18"/>
    <w:link w:val="4"/>
    <w:qFormat/>
    <w:uiPriority w:val="0"/>
    <w:rPr>
      <w:rFonts w:asciiTheme="majorHAnsi" w:hAnsiTheme="majorHAnsi" w:eastAsiaTheme="majorEastAsia" w:cstheme="majorHAnsi"/>
      <w:b/>
      <w:bCs/>
      <w:kern w:val="0"/>
      <w:sz w:val="22"/>
      <w:szCs w:val="28"/>
      <w:lang w:val="en-AU"/>
    </w:rPr>
  </w:style>
  <w:style w:type="character" w:customStyle="1" w:styleId="71">
    <w:name w:val="标题 3 字符"/>
    <w:basedOn w:val="18"/>
    <w:link w:val="5"/>
    <w:qFormat/>
    <w:uiPriority w:val="0"/>
    <w:rPr>
      <w:kern w:val="0"/>
      <w:sz w:val="22"/>
      <w:szCs w:val="28"/>
      <w:lang w:val="en-AU"/>
    </w:rPr>
  </w:style>
  <w:style w:type="character" w:customStyle="1" w:styleId="72">
    <w:name w:val="标题 4 字符"/>
    <w:basedOn w:val="18"/>
    <w:link w:val="6"/>
    <w:qFormat/>
    <w:uiPriority w:val="0"/>
    <w:rPr>
      <w:kern w:val="0"/>
      <w:sz w:val="22"/>
      <w:szCs w:val="28"/>
      <w:lang w:val="en-AU"/>
    </w:rPr>
  </w:style>
  <w:style w:type="character" w:customStyle="1" w:styleId="73">
    <w:name w:val="标题 5 字符"/>
    <w:basedOn w:val="18"/>
    <w:link w:val="7"/>
    <w:qFormat/>
    <w:uiPriority w:val="0"/>
    <w:rPr>
      <w:kern w:val="0"/>
      <w:sz w:val="22"/>
      <w:szCs w:val="28"/>
      <w:lang w:val="en-AU"/>
    </w:rPr>
  </w:style>
  <w:style w:type="character" w:customStyle="1" w:styleId="74">
    <w:name w:val="标题 6 字符"/>
    <w:basedOn w:val="18"/>
    <w:link w:val="8"/>
    <w:qFormat/>
    <w:uiPriority w:val="0"/>
    <w:rPr>
      <w:kern w:val="0"/>
      <w:sz w:val="22"/>
      <w:szCs w:val="28"/>
      <w:lang w:val="en-AU"/>
    </w:rPr>
  </w:style>
  <w:style w:type="character" w:customStyle="1" w:styleId="75">
    <w:name w:val="标题 7 字符"/>
    <w:basedOn w:val="18"/>
    <w:link w:val="9"/>
    <w:qFormat/>
    <w:uiPriority w:val="0"/>
    <w:rPr>
      <w:kern w:val="0"/>
      <w:sz w:val="22"/>
      <w:szCs w:val="28"/>
      <w:lang w:val="en-AU"/>
    </w:rPr>
  </w:style>
  <w:style w:type="table" w:customStyle="1" w:styleId="76">
    <w:name w:val="网格型1"/>
    <w:basedOn w:val="16"/>
    <w:qFormat/>
    <w:uiPriority w:val="0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77">
    <w:name w:val="页眉 字符"/>
    <w:basedOn w:val="18"/>
    <w:link w:val="15"/>
    <w:qFormat/>
    <w:uiPriority w:val="99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customXml" Target="../customXml/item1.xml"/><Relationship Id="rId4" Type="http://schemas.openxmlformats.org/officeDocument/2006/relationships/theme" Target="theme/theme1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B&amp;M">
  <a:themeElements>
    <a:clrScheme name="B&amp;M">
      <a:dk1>
        <a:srgbClr val="000000"/>
      </a:dk1>
      <a:lt1>
        <a:srgbClr val="FFFFFF"/>
      </a:lt1>
      <a:dk2>
        <a:srgbClr val="5F5F5F"/>
      </a:dk2>
      <a:lt2>
        <a:srgbClr val="C2C3C4"/>
      </a:lt2>
      <a:accent1>
        <a:srgbClr val="EE3135"/>
      </a:accent1>
      <a:accent2>
        <a:srgbClr val="AE132A"/>
      </a:accent2>
      <a:accent3>
        <a:srgbClr val="7A0223"/>
      </a:accent3>
      <a:accent4>
        <a:srgbClr val="002856"/>
      </a:accent4>
      <a:accent5>
        <a:srgbClr val="F58220"/>
      </a:accent5>
      <a:accent6>
        <a:srgbClr val="007B66"/>
      </a:accent6>
      <a:hlink>
        <a:srgbClr val="0000FF"/>
      </a:hlink>
      <a:folHlink>
        <a:srgbClr val="800080"/>
      </a:folHlink>
    </a:clrScheme>
    <a:fontScheme name="B&amp;M">
      <a:majorFont>
        <a:latin typeface="Arial"/>
        <a:ea typeface="PMingLiu"/>
        <a:cs typeface=""/>
        <a:font script="Jpan" typeface="MS Gothic"/>
      </a:majorFont>
      <a:minorFont>
        <a:latin typeface="Times New Roman"/>
        <a:ea typeface="PMingLiU"/>
        <a:cs typeface=""/>
        <a:font script="Jpan" typeface="MS Mincho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true"/>
        </a:gradFill>
        <a:gradFill rotWithShape="true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false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true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true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745</Words>
  <Characters>872</Characters>
  <Lines>79</Lines>
  <Paragraphs>85</Paragraphs>
  <TotalTime>1</TotalTime>
  <ScaleCrop>false</ScaleCrop>
  <LinksUpToDate>false</LinksUpToDate>
  <CharactersWithSpaces>1532</CharactersWithSpaces>
  <Application>WPS Office_11.8.2.9695_F1E327BC-269C-435d-A152-05C5408002CA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2023-09-01T19:46:00Z</dcterms:created>
  <dc:creator>Baker McKenzie FenXun</dc:creator>
  <cp:lastModifiedBy>greatwall</cp:lastModifiedBy>
  <dcterms:modified xsi:type="dcterms:W3CDTF">2023-09-28T09:12:57Z</dcterms:modified>
  <cp:revision>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2052-11.8.2.9695</vt:lpwstr>
  </property>
</Properties>
</file>