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428D1" w14:textId="77777777" w:rsidR="009C716D" w:rsidRDefault="009C716D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87F5F" w14:paraId="233D357E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B2EAD40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8B92E97" w14:textId="6AD92AC1" w:rsidR="00187F5F" w:rsidRPr="00187F5F" w:rsidRDefault="00975AEE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975AEE">
              <w:rPr>
                <w:rFonts w:ascii="宋体" w:hAnsi="宋体" w:cs="宋体" w:hint="eastAsia"/>
                <w:bCs/>
                <w:color w:val="000000"/>
                <w:lang w:val="en-US"/>
              </w:rPr>
              <w:t>康龙化成（北京）新药技术股份有限公司和CMS MEDICAL VENTURE PTE. LTD.收购Rxilient Biohub Pte. Ltd.股权案</w:t>
            </w:r>
          </w:p>
        </w:tc>
      </w:tr>
      <w:tr w:rsidR="00187F5F" w14:paraId="22344C2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E39E60E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E3BABA3" w14:textId="48E8DC1F" w:rsidR="00187F5F" w:rsidRPr="00263689" w:rsidRDefault="00975AEE" w:rsidP="00187F5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975AEE">
              <w:rPr>
                <w:rFonts w:ascii="宋体" w:hAnsi="宋体" w:cs="宋体" w:hint="eastAsia"/>
                <w:bCs/>
                <w:color w:val="000000"/>
                <w:lang w:val="en-US"/>
              </w:rPr>
              <w:t>康龙化成（北京）新药技术股份有限公司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Pr="00263689">
              <w:rPr>
                <w:rFonts w:ascii="宋体" w:hAnsi="宋体" w:cs="宋体" w:hint="eastAsia"/>
                <w:b/>
                <w:color w:val="000000"/>
                <w:lang w:val="en-US"/>
              </w:rPr>
              <w:t>康龙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”）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的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全资子公司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与</w:t>
            </w:r>
            <w:r w:rsidRPr="00975AEE">
              <w:rPr>
                <w:rFonts w:ascii="宋体" w:hAnsi="宋体" w:cs="宋体" w:hint="eastAsia"/>
                <w:bCs/>
                <w:color w:val="000000"/>
                <w:lang w:val="en-US"/>
              </w:rPr>
              <w:t>CMS MEDICAL VENTURE PTE. LTD.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Pr="00263689">
              <w:rPr>
                <w:rFonts w:ascii="宋体" w:hAnsi="宋体" w:cs="宋体" w:hint="eastAsia"/>
                <w:b/>
                <w:color w:val="000000"/>
                <w:lang w:val="en-US"/>
              </w:rPr>
              <w:t>康哲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”）、</w:t>
            </w:r>
            <w:r w:rsidR="00486B1D" w:rsidRPr="00486B1D">
              <w:rPr>
                <w:rFonts w:ascii="宋体" w:hAnsi="宋体" w:cs="宋体"/>
                <w:bCs/>
                <w:color w:val="000000"/>
                <w:lang w:val="en-US"/>
              </w:rPr>
              <w:t>Healthy Goal Limited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="00486B1D">
              <w:rPr>
                <w:rFonts w:ascii="宋体" w:hAnsi="宋体" w:cs="宋体"/>
                <w:b/>
                <w:color w:val="000000"/>
                <w:lang w:val="en-US"/>
              </w:rPr>
              <w:t>H</w:t>
            </w:r>
            <w:r w:rsidR="00486B1D">
              <w:rPr>
                <w:rFonts w:ascii="宋体" w:hAnsi="宋体" w:cs="宋体" w:hint="eastAsia"/>
                <w:b/>
                <w:color w:val="000000"/>
                <w:lang w:val="en-US"/>
              </w:rPr>
              <w:t>ealthy</w:t>
            </w:r>
            <w:r w:rsidR="00486B1D">
              <w:rPr>
                <w:rFonts w:ascii="宋体" w:hAnsi="宋体" w:cs="宋体"/>
                <w:b/>
                <w:color w:val="000000"/>
                <w:lang w:val="en-US"/>
              </w:rPr>
              <w:t xml:space="preserve"> G</w:t>
            </w:r>
            <w:r w:rsidR="00486B1D">
              <w:rPr>
                <w:rFonts w:ascii="宋体" w:hAnsi="宋体" w:cs="宋体" w:hint="eastAsia"/>
                <w:b/>
                <w:color w:val="000000"/>
                <w:lang w:val="en-US"/>
              </w:rPr>
              <w:t>oal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”）、</w:t>
            </w:r>
            <w:r w:rsidR="00263689" w:rsidRPr="00263689">
              <w:rPr>
                <w:rFonts w:ascii="宋体" w:hAnsi="宋体" w:cs="宋体"/>
                <w:bCs/>
                <w:color w:val="000000"/>
                <w:lang w:val="en-US"/>
              </w:rPr>
              <w:t>Rxilient Health Pte. Ltd.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（</w:t>
            </w:r>
            <w:r w:rsidR="00263689" w:rsidRPr="00263689">
              <w:rPr>
                <w:rFonts w:ascii="宋体" w:hAnsi="宋体" w:cs="宋体" w:hint="eastAsia"/>
                <w:bCs/>
                <w:color w:val="000000"/>
                <w:lang w:val="en-US"/>
              </w:rPr>
              <w:t>“</w:t>
            </w:r>
            <w:r w:rsidR="00263689" w:rsidRPr="00263689">
              <w:rPr>
                <w:rFonts w:ascii="宋体" w:hAnsi="宋体" w:cs="宋体"/>
                <w:b/>
                <w:color w:val="000000"/>
                <w:lang w:val="en-US"/>
              </w:rPr>
              <w:t>Rxilient</w:t>
            </w:r>
            <w:r w:rsidR="00263689" w:rsidRPr="00263689">
              <w:rPr>
                <w:rFonts w:ascii="宋体" w:hAnsi="宋体" w:cs="宋体" w:hint="eastAsia"/>
                <w:bCs/>
                <w:color w:val="000000"/>
                <w:lang w:val="en-US"/>
              </w:rPr>
              <w:t>”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）、</w:t>
            </w:r>
            <w:r w:rsidRPr="00975AEE">
              <w:rPr>
                <w:rFonts w:ascii="宋体" w:hAnsi="宋体" w:cs="宋体" w:hint="eastAsia"/>
                <w:bCs/>
                <w:color w:val="000000"/>
                <w:lang w:val="en-US"/>
              </w:rPr>
              <w:t>Rxilient Biohub Pte. Ltd.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Pr="00263689">
              <w:rPr>
                <w:rFonts w:ascii="宋体" w:hAnsi="宋体" w:cs="宋体" w:hint="eastAsia"/>
                <w:b/>
                <w:color w:val="000000"/>
                <w:lang w:val="en-US"/>
              </w:rPr>
              <w:t>合营企业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”）签订《股份认购与股东协议》，康龙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、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康哲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、</w:t>
            </w:r>
            <w:r w:rsidR="00486B1D" w:rsidRPr="00486B1D">
              <w:rPr>
                <w:rFonts w:ascii="宋体" w:hAnsi="宋体" w:cs="宋体"/>
                <w:bCs/>
                <w:color w:val="000000"/>
                <w:lang w:val="en-US"/>
              </w:rPr>
              <w:t>Healthy Goal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分别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以增资形式取得合营企业3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5%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、</w:t>
            </w:r>
            <w:r w:rsidR="00263689" w:rsidRPr="00263689">
              <w:rPr>
                <w:rFonts w:ascii="宋体" w:hAnsi="宋体" w:cs="宋体"/>
                <w:bCs/>
                <w:color w:val="000000"/>
                <w:lang w:val="en-US"/>
              </w:rPr>
              <w:t>33.8%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和2</w:t>
            </w:r>
            <w:r w:rsidR="00486B1D">
              <w:rPr>
                <w:rFonts w:ascii="宋体" w:hAnsi="宋体" w:cs="宋体"/>
                <w:bCs/>
                <w:color w:val="000000"/>
                <w:lang w:val="en-US"/>
              </w:rPr>
              <w:t>0%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股权</w:t>
            </w:r>
            <w:r w:rsidR="009D1FBB">
              <w:rPr>
                <w:rFonts w:ascii="宋体" w:hAnsi="宋体" w:cs="宋体" w:hint="eastAsia"/>
                <w:bCs/>
                <w:color w:val="000000"/>
                <w:lang w:val="en-US"/>
              </w:rPr>
              <w:t>。合营企业</w:t>
            </w:r>
            <w:r w:rsidR="00B312CB">
              <w:rPr>
                <w:rFonts w:ascii="宋体" w:hAnsi="宋体" w:cs="宋体" w:hint="eastAsia"/>
                <w:bCs/>
                <w:color w:val="000000"/>
                <w:lang w:val="en-US"/>
              </w:rPr>
              <w:t>拟在</w:t>
            </w:r>
            <w:r w:rsidR="009D1FBB">
              <w:rPr>
                <w:rFonts w:ascii="宋体" w:hAnsi="宋体" w:cs="宋体" w:hint="eastAsia"/>
                <w:bCs/>
                <w:color w:val="000000"/>
                <w:lang w:val="en-US"/>
              </w:rPr>
              <w:t>交易后</w:t>
            </w:r>
            <w:r w:rsidR="00B312CB">
              <w:rPr>
                <w:rFonts w:ascii="宋体" w:hAnsi="宋体" w:cs="宋体" w:hint="eastAsia"/>
                <w:bCs/>
                <w:color w:val="000000"/>
                <w:lang w:val="en-US"/>
              </w:rPr>
              <w:t>从事</w:t>
            </w:r>
            <w:r w:rsidR="009D1FBB" w:rsidRPr="009D1FBB">
              <w:rPr>
                <w:rFonts w:ascii="宋体" w:hAnsi="宋体" w:cs="宋体" w:hint="eastAsia"/>
                <w:bCs/>
                <w:color w:val="000000"/>
                <w:lang w:val="en-US"/>
              </w:rPr>
              <w:t>医药研发生产外包服务相关</w:t>
            </w:r>
            <w:r w:rsidR="00B312CB">
              <w:rPr>
                <w:rFonts w:ascii="宋体" w:hAnsi="宋体" w:cs="宋体" w:hint="eastAsia"/>
                <w:bCs/>
                <w:color w:val="000000"/>
                <w:lang w:val="en-US"/>
              </w:rPr>
              <w:t>业务</w:t>
            </w:r>
            <w:r w:rsidR="009D1FBB">
              <w:rPr>
                <w:rFonts w:ascii="宋体" w:hAnsi="宋体" w:cs="宋体" w:hint="eastAsia"/>
                <w:bCs/>
                <w:color w:val="000000"/>
                <w:lang w:val="en-US"/>
              </w:rPr>
              <w:t>。本次交易前，</w:t>
            </w:r>
            <w:r w:rsidR="00AF6D81">
              <w:rPr>
                <w:rFonts w:ascii="宋体" w:hAnsi="宋体" w:cs="宋体" w:hint="eastAsia"/>
                <w:bCs/>
                <w:color w:val="000000"/>
                <w:lang w:val="en-US"/>
              </w:rPr>
              <w:t>康哲关联实体</w:t>
            </w:r>
            <w:r w:rsidR="00263689" w:rsidRPr="00263689">
              <w:rPr>
                <w:rFonts w:ascii="宋体" w:hAnsi="宋体" w:cs="宋体"/>
                <w:bCs/>
                <w:color w:val="000000"/>
                <w:lang w:val="en-US"/>
              </w:rPr>
              <w:t>Rxilient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持有合营企业1</w:t>
            </w:r>
            <w:r w:rsidR="00263689">
              <w:rPr>
                <w:rFonts w:ascii="宋体" w:hAnsi="宋体" w:cs="宋体"/>
                <w:bCs/>
                <w:color w:val="000000"/>
                <w:lang w:val="en-US"/>
              </w:rPr>
              <w:t>00%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股权，单独控制合营企业。本次交易后，康龙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、康哲、</w:t>
            </w:r>
            <w:r w:rsidR="00486B1D" w:rsidRPr="00486B1D">
              <w:rPr>
                <w:rFonts w:ascii="宋体" w:hAnsi="宋体" w:cs="宋体"/>
                <w:bCs/>
                <w:color w:val="000000"/>
                <w:lang w:val="en-US"/>
              </w:rPr>
              <w:t>Healthy Goal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、</w:t>
            </w:r>
            <w:r w:rsidR="00486B1D" w:rsidRPr="00486B1D">
              <w:rPr>
                <w:rFonts w:ascii="宋体" w:hAnsi="宋体" w:cs="宋体"/>
                <w:bCs/>
                <w:color w:val="000000"/>
                <w:lang w:val="en-US"/>
              </w:rPr>
              <w:t>Rxilient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分别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持有合营企业3</w:t>
            </w:r>
            <w:r w:rsidR="00263689">
              <w:rPr>
                <w:rFonts w:ascii="宋体" w:hAnsi="宋体" w:cs="宋体"/>
                <w:bCs/>
                <w:color w:val="000000"/>
                <w:lang w:val="en-US"/>
              </w:rPr>
              <w:t>5%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、3</w:t>
            </w:r>
            <w:r w:rsidR="00486B1D">
              <w:rPr>
                <w:rFonts w:ascii="宋体" w:hAnsi="宋体" w:cs="宋体"/>
                <w:bCs/>
                <w:color w:val="000000"/>
                <w:lang w:val="en-US"/>
              </w:rPr>
              <w:t>3.8%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、2</w:t>
            </w:r>
            <w:r w:rsidR="00486B1D">
              <w:rPr>
                <w:rFonts w:ascii="宋体" w:hAnsi="宋体" w:cs="宋体"/>
                <w:bCs/>
                <w:color w:val="000000"/>
                <w:lang w:val="en-US"/>
              </w:rPr>
              <w:t>0%</w:t>
            </w:r>
            <w:r w:rsidR="00486B1D">
              <w:rPr>
                <w:rFonts w:ascii="宋体" w:hAnsi="宋体" w:cs="宋体" w:hint="eastAsia"/>
                <w:bCs/>
                <w:color w:val="000000"/>
                <w:lang w:val="en-US"/>
              </w:rPr>
              <w:t>和</w:t>
            </w:r>
            <w:r w:rsidR="00486B1D" w:rsidRPr="00486B1D">
              <w:rPr>
                <w:rFonts w:ascii="宋体" w:hAnsi="宋体" w:cs="宋体"/>
                <w:bCs/>
                <w:color w:val="000000"/>
                <w:lang w:val="en-US"/>
              </w:rPr>
              <w:t>11.2%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股权，合营企业将由康龙和康哲</w:t>
            </w:r>
            <w:r w:rsidR="00761BEE">
              <w:rPr>
                <w:rFonts w:ascii="宋体" w:hAnsi="宋体" w:cs="宋体" w:hint="eastAsia"/>
                <w:bCs/>
                <w:color w:val="000000"/>
                <w:lang w:val="en-US"/>
              </w:rPr>
              <w:t>（</w:t>
            </w:r>
            <w:r w:rsidR="000102AF">
              <w:rPr>
                <w:rFonts w:ascii="宋体" w:hAnsi="宋体" w:cs="宋体" w:hint="eastAsia"/>
                <w:bCs/>
                <w:color w:val="000000"/>
                <w:lang w:val="en-US"/>
              </w:rPr>
              <w:t>包括</w:t>
            </w:r>
            <w:r w:rsidR="00761BEE">
              <w:rPr>
                <w:rFonts w:ascii="宋体" w:hAnsi="宋体" w:cs="宋体" w:hint="eastAsia"/>
                <w:bCs/>
                <w:color w:val="000000"/>
                <w:lang w:val="en-US"/>
              </w:rPr>
              <w:t>通过关联实体）</w:t>
            </w:r>
            <w:r w:rsidR="00263689">
              <w:rPr>
                <w:rFonts w:ascii="宋体" w:hAnsi="宋体" w:cs="宋体" w:hint="eastAsia"/>
                <w:bCs/>
                <w:color w:val="000000"/>
                <w:lang w:val="en-US"/>
              </w:rPr>
              <w:t>共同控制。</w:t>
            </w:r>
          </w:p>
        </w:tc>
      </w:tr>
      <w:tr w:rsidR="009C716D" w14:paraId="141E4A5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B596581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F97E5B2" w14:textId="126461AE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9D1FBB">
              <w:rPr>
                <w:rFonts w:ascii="宋体" w:hAnsi="宋体" w:cs="宋体" w:hint="eastAsia"/>
                <w:bCs/>
                <w:color w:val="000000"/>
                <w:lang w:eastAsia="zh-CN"/>
              </w:rPr>
              <w:t>康龙</w:t>
            </w:r>
          </w:p>
        </w:tc>
        <w:tc>
          <w:tcPr>
            <w:tcW w:w="6093" w:type="dxa"/>
            <w:vAlign w:val="center"/>
          </w:tcPr>
          <w:p w14:paraId="4153C3B7" w14:textId="34BE015F" w:rsidR="00187F5F" w:rsidRPr="00AF7DC3" w:rsidRDefault="009D1FBB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康龙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263689">
              <w:rPr>
                <w:rFonts w:ascii="宋体" w:hAnsi="宋体" w:cs="宋体" w:hint="eastAsia"/>
                <w:bCs/>
                <w:color w:val="000000"/>
              </w:rPr>
              <w:t>2</w:t>
            </w:r>
            <w:r w:rsidR="00263689">
              <w:rPr>
                <w:rFonts w:ascii="宋体" w:hAnsi="宋体" w:cs="宋体"/>
                <w:bCs/>
                <w:color w:val="000000"/>
              </w:rPr>
              <w:t>014</w:t>
            </w:r>
            <w:r w:rsidR="00263689">
              <w:rPr>
                <w:rFonts w:ascii="宋体" w:hAnsi="宋体" w:cs="宋体" w:hint="eastAsia"/>
                <w:bCs/>
                <w:color w:val="000000"/>
              </w:rPr>
              <w:t>年7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="00263689">
              <w:rPr>
                <w:rFonts w:ascii="宋体" w:hAnsi="宋体" w:cs="宋体" w:hint="eastAsia"/>
                <w:bCs/>
                <w:color w:val="000000"/>
              </w:rPr>
              <w:t>1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日成立于</w:t>
            </w:r>
            <w:r w:rsidR="00263689">
              <w:rPr>
                <w:rFonts w:ascii="宋体" w:hAnsi="宋体" w:cs="宋体" w:hint="eastAsia"/>
                <w:bCs/>
                <w:color w:val="000000"/>
              </w:rPr>
              <w:t>中国北京市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AF7DC3" w:rsidRPr="00AF7DC3"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="00263689">
              <w:rPr>
                <w:rFonts w:ascii="宋体" w:hAnsi="宋体" w:cs="宋体" w:hint="eastAsia"/>
                <w:bCs/>
                <w:color w:val="000000"/>
              </w:rPr>
              <w:t>深圳</w:t>
            </w:r>
            <w:r w:rsidR="00263689" w:rsidRPr="00AF7DC3">
              <w:rPr>
                <w:rFonts w:ascii="宋体" w:hAnsi="宋体" w:cs="宋体" w:hint="eastAsia"/>
                <w:bCs/>
                <w:color w:val="000000"/>
              </w:rPr>
              <w:t>证券交易所</w:t>
            </w:r>
            <w:r w:rsidR="00263689">
              <w:rPr>
                <w:rFonts w:ascii="宋体" w:hAnsi="宋体" w:cs="宋体" w:hint="eastAsia"/>
                <w:bCs/>
                <w:color w:val="000000"/>
              </w:rPr>
              <w:t>和</w:t>
            </w:r>
            <w:r w:rsidR="00263689" w:rsidRPr="00263689">
              <w:rPr>
                <w:rFonts w:ascii="宋体" w:hAnsi="宋体" w:cs="宋体" w:hint="eastAsia"/>
                <w:bCs/>
                <w:color w:val="000000"/>
              </w:rPr>
              <w:t>香港联交所</w:t>
            </w:r>
            <w:r w:rsidR="00263689" w:rsidRPr="00AF7DC3">
              <w:rPr>
                <w:rFonts w:ascii="宋体" w:hAnsi="宋体" w:cs="宋体" w:hint="eastAsia"/>
                <w:bCs/>
                <w:color w:val="000000"/>
              </w:rPr>
              <w:t>上市企业</w:t>
            </w:r>
            <w:r w:rsidR="00AF7DC3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主要业务</w:t>
            </w:r>
            <w:r w:rsidRPr="009D1FBB">
              <w:rPr>
                <w:rFonts w:ascii="宋体" w:hAnsi="宋体" w:cs="宋体" w:hint="eastAsia"/>
                <w:bCs/>
                <w:color w:val="000000"/>
              </w:rPr>
              <w:t>是为客户提供从药物发现到药物开发的全流程一体化药物研究、开发及生产服务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45882C74" w14:textId="7FB51C67" w:rsidR="00187F5F" w:rsidRPr="00AF7DC3" w:rsidRDefault="009D1FBB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康龙最终控制人为自然人，其通过康龙开展业务</w:t>
            </w:r>
            <w:r w:rsidR="00AF7DC3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3FEA247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16AA2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8B272A" w14:textId="620F9CBE" w:rsidR="009C716D" w:rsidRPr="00187F5F" w:rsidRDefault="009C716D" w:rsidP="00263689">
            <w:pPr>
              <w:pStyle w:val="a0"/>
              <w:adjustRightInd w:val="0"/>
              <w:snapToGrid w:val="0"/>
              <w:spacing w:after="0"/>
              <w:jc w:val="left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康哲</w:t>
            </w:r>
          </w:p>
        </w:tc>
        <w:tc>
          <w:tcPr>
            <w:tcW w:w="6093" w:type="dxa"/>
            <w:vAlign w:val="center"/>
          </w:tcPr>
          <w:p w14:paraId="666A2D2E" w14:textId="5606E85A" w:rsidR="009C716D" w:rsidRPr="00AF7DC3" w:rsidRDefault="009D1FBB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康哲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187F5F" w:rsidRPr="00AF7DC3">
              <w:rPr>
                <w:rFonts w:ascii="宋体" w:hAnsi="宋体" w:cs="宋体"/>
                <w:bCs/>
                <w:color w:val="000000"/>
              </w:rPr>
              <w:t>20</w:t>
            </w:r>
            <w:r>
              <w:rPr>
                <w:rFonts w:ascii="宋体" w:hAnsi="宋体" w:cs="宋体"/>
                <w:bCs/>
                <w:color w:val="000000"/>
              </w:rPr>
              <w:t>23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年</w:t>
            </w:r>
            <w:r>
              <w:rPr>
                <w:rFonts w:ascii="宋体" w:hAnsi="宋体" w:cs="宋体"/>
                <w:bCs/>
                <w:color w:val="000000"/>
              </w:rPr>
              <w:t>10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="00AF7DC3" w:rsidRPr="00AF7DC3">
              <w:rPr>
                <w:rFonts w:ascii="宋体" w:hAnsi="宋体" w:cs="宋体"/>
                <w:bCs/>
                <w:color w:val="000000"/>
              </w:rPr>
              <w:t>9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成立于</w:t>
            </w:r>
            <w:r w:rsidR="00263689">
              <w:rPr>
                <w:rFonts w:ascii="宋体" w:hAnsi="宋体" w:cs="宋体" w:hint="eastAsia"/>
                <w:bCs/>
                <w:color w:val="000000"/>
              </w:rPr>
              <w:t>新加坡</w:t>
            </w:r>
            <w:r w:rsidR="004109C7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C204DD" w:rsidRPr="00C204DD">
              <w:rPr>
                <w:rFonts w:ascii="宋体" w:hAnsi="宋体" w:cs="宋体" w:hint="eastAsia"/>
                <w:bCs/>
                <w:color w:val="000000"/>
              </w:rPr>
              <w:t>康哲自身并未实际开展业务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12541D06" w14:textId="46B7AB70" w:rsidR="009C716D" w:rsidRPr="00AF7DC3" w:rsidRDefault="009D1FBB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康哲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最终控制人为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自然人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C204DD"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="00C204DD" w:rsidRPr="00C204DD">
              <w:rPr>
                <w:rFonts w:ascii="宋体" w:hAnsi="宋体" w:cs="宋体" w:hint="eastAsia"/>
                <w:bCs/>
                <w:color w:val="000000"/>
              </w:rPr>
              <w:t>自有或自主引进创新药品的研发、生产及销售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4072ADC0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85559A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A31B828" w14:textId="3A35DBCB" w:rsidR="009C716D" w:rsidRPr="00187F5F" w:rsidRDefault="009D1FBB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9C716D" w14:paraId="1112EE5D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A8062B7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7B04A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9C716D" w14:paraId="161E9603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E4F136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8BB1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9C716D" w14:paraId="22852955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6DA218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F0449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C716D" w14:paraId="34172B5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8F63BD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F23CE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C716D" w14:paraId="4548FC5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E6254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3221D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C716D" w14:paraId="0CEEB9B9" w14:textId="77777777" w:rsidTr="00187F5F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1C064BA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063B240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/>
                <w:color w:val="000000"/>
                <w:lang w:eastAsia="zh-CN"/>
              </w:rPr>
              <w:t>纵向关联：</w:t>
            </w:r>
          </w:p>
          <w:p w14:paraId="2BB9F793" w14:textId="77777777" w:rsidR="00187F5F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</w:t>
            </w:r>
          </w:p>
          <w:p w14:paraId="185B9055" w14:textId="4DB8CF3C" w:rsidR="009C716D" w:rsidRPr="00187F5F" w:rsidRDefault="009D1FBB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2022年全球医药研究外包服务市场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0BBCBCC3" w14:textId="16EF2D28" w:rsidR="009C716D" w:rsidRDefault="009D1FBB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康龙：</w:t>
            </w:r>
            <w:r w:rsidR="00013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</w:t>
            </w:r>
            <w:r w:rsidR="00013B25"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</w:p>
          <w:p w14:paraId="7A3AD666" w14:textId="73428C5F" w:rsidR="009D1FBB" w:rsidRPr="00187F5F" w:rsidRDefault="009D1FBB" w:rsidP="009D1FB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2022年全球医药研发与生产外包服务市场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61DD3F9F" w14:textId="70A412F2" w:rsidR="009D1FBB" w:rsidRPr="00187F5F" w:rsidRDefault="009D1FBB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康龙：</w:t>
            </w:r>
            <w:r w:rsidR="00013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</w:t>
            </w:r>
            <w:r w:rsidR="00013B25"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</w:p>
          <w:p w14:paraId="62A23AF0" w14:textId="77777777" w:rsidR="00187F5F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下游：</w:t>
            </w:r>
          </w:p>
          <w:p w14:paraId="04BBE893" w14:textId="19C91E52" w:rsidR="009C716D" w:rsidRPr="00187F5F" w:rsidRDefault="009D1FBB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lastRenderedPageBreak/>
              <w:t>2022年中国境内心血管系统化学药市场</w:t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0F6C74C1" w14:textId="4C6783DB" w:rsidR="00187F5F" w:rsidRDefault="009D1FBB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康哲</w:t>
            </w:r>
            <w:r w:rsidR="00187F5F"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="00013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</w:t>
            </w:r>
            <w:r w:rsidR="00013B25"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</w:p>
          <w:p w14:paraId="6D681424" w14:textId="77777777" w:rsidR="009D1FBB" w:rsidRDefault="009D1FBB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D1FB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2022年中国境内消化系统用化学药市场</w:t>
            </w:r>
          </w:p>
          <w:p w14:paraId="1E0A51BE" w14:textId="66884671" w:rsidR="009D1FBB" w:rsidRPr="000A2744" w:rsidRDefault="009D1FBB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康哲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="00013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</w:t>
            </w:r>
            <w:r w:rsidR="00013B25"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</w:p>
        </w:tc>
      </w:tr>
    </w:tbl>
    <w:p w14:paraId="3D579D90" w14:textId="77777777" w:rsidR="009C716D" w:rsidRDefault="009C716D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C716D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03BCC" w14:textId="77777777" w:rsidR="006F16D1" w:rsidRDefault="006F16D1">
      <w:pPr>
        <w:spacing w:after="0"/>
      </w:pPr>
      <w:r>
        <w:separator/>
      </w:r>
    </w:p>
  </w:endnote>
  <w:endnote w:type="continuationSeparator" w:id="0">
    <w:p w14:paraId="1AA16CCE" w14:textId="77777777" w:rsidR="006F16D1" w:rsidRDefault="006F16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C716D" w14:paraId="13F53826" w14:textId="77777777">
      <w:tc>
        <w:tcPr>
          <w:tcW w:w="3080" w:type="dxa"/>
        </w:tcPr>
        <w:p w14:paraId="25C0912F" w14:textId="77777777" w:rsidR="009C716D" w:rsidRDefault="009C716D">
          <w:pPr>
            <w:pStyle w:val="aff4"/>
          </w:pPr>
        </w:p>
      </w:tc>
      <w:tc>
        <w:tcPr>
          <w:tcW w:w="3081" w:type="dxa"/>
        </w:tcPr>
        <w:p w14:paraId="678E70A5" w14:textId="77777777" w:rsidR="009C716D" w:rsidRDefault="009C716D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E844919" w14:textId="77777777" w:rsidR="009C716D" w:rsidRDefault="009C716D">
          <w:pPr>
            <w:pStyle w:val="FooterRight"/>
          </w:pPr>
        </w:p>
      </w:tc>
    </w:tr>
  </w:tbl>
  <w:p w14:paraId="4177CB24" w14:textId="77777777" w:rsidR="009C716D" w:rsidRDefault="009C716D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FD78E" w14:textId="77777777" w:rsidR="006F16D1" w:rsidRDefault="006F16D1">
      <w:pPr>
        <w:spacing w:after="0"/>
      </w:pPr>
      <w:r>
        <w:separator/>
      </w:r>
    </w:p>
  </w:footnote>
  <w:footnote w:type="continuationSeparator" w:id="0">
    <w:p w14:paraId="0EA755AC" w14:textId="77777777" w:rsidR="006F16D1" w:rsidRDefault="006F16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997996533">
    <w:abstractNumId w:val="2"/>
  </w:num>
  <w:num w:numId="2" w16cid:durableId="959917817">
    <w:abstractNumId w:val="0"/>
  </w:num>
  <w:num w:numId="3" w16cid:durableId="1798529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I2M7EwNTKysDQ2MTFV0lEKTi0uzszPAykwNKkFAIREbrMtAAAA"/>
  </w:docVars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02AF"/>
    <w:rsid w:val="00013B25"/>
    <w:rsid w:val="000150B7"/>
    <w:rsid w:val="00021AB2"/>
    <w:rsid w:val="000326C8"/>
    <w:rsid w:val="00037020"/>
    <w:rsid w:val="00041C40"/>
    <w:rsid w:val="0004292A"/>
    <w:rsid w:val="000467AA"/>
    <w:rsid w:val="00062616"/>
    <w:rsid w:val="00073E6B"/>
    <w:rsid w:val="0007723F"/>
    <w:rsid w:val="00077D60"/>
    <w:rsid w:val="00081D8B"/>
    <w:rsid w:val="00083590"/>
    <w:rsid w:val="00092F4E"/>
    <w:rsid w:val="000A2744"/>
    <w:rsid w:val="000B58E5"/>
    <w:rsid w:val="000B653C"/>
    <w:rsid w:val="000C6953"/>
    <w:rsid w:val="000E29A9"/>
    <w:rsid w:val="000E3A81"/>
    <w:rsid w:val="00104B7A"/>
    <w:rsid w:val="00107E19"/>
    <w:rsid w:val="00115F62"/>
    <w:rsid w:val="00123E26"/>
    <w:rsid w:val="00145B05"/>
    <w:rsid w:val="001639D8"/>
    <w:rsid w:val="00173DB1"/>
    <w:rsid w:val="00186A05"/>
    <w:rsid w:val="00187F5F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0177D"/>
    <w:rsid w:val="00223F03"/>
    <w:rsid w:val="00224A7C"/>
    <w:rsid w:val="002278D1"/>
    <w:rsid w:val="00231665"/>
    <w:rsid w:val="00233737"/>
    <w:rsid w:val="002403B5"/>
    <w:rsid w:val="00245281"/>
    <w:rsid w:val="00250E61"/>
    <w:rsid w:val="00261F94"/>
    <w:rsid w:val="00263689"/>
    <w:rsid w:val="0026528C"/>
    <w:rsid w:val="00267941"/>
    <w:rsid w:val="002740DD"/>
    <w:rsid w:val="00287E91"/>
    <w:rsid w:val="00291652"/>
    <w:rsid w:val="0029253A"/>
    <w:rsid w:val="002964A1"/>
    <w:rsid w:val="002A25F2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5741A"/>
    <w:rsid w:val="00371332"/>
    <w:rsid w:val="0038349B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D24CD"/>
    <w:rsid w:val="003E3B57"/>
    <w:rsid w:val="003E73DB"/>
    <w:rsid w:val="004039B7"/>
    <w:rsid w:val="00410914"/>
    <w:rsid w:val="004109C7"/>
    <w:rsid w:val="004119F5"/>
    <w:rsid w:val="004166B2"/>
    <w:rsid w:val="004203EF"/>
    <w:rsid w:val="00427E52"/>
    <w:rsid w:val="00446353"/>
    <w:rsid w:val="0044739B"/>
    <w:rsid w:val="00453982"/>
    <w:rsid w:val="00467A6B"/>
    <w:rsid w:val="00486B1D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A3EC6"/>
    <w:rsid w:val="006B4541"/>
    <w:rsid w:val="006D1E2B"/>
    <w:rsid w:val="006D42BE"/>
    <w:rsid w:val="006E0D98"/>
    <w:rsid w:val="006E3180"/>
    <w:rsid w:val="006E63E0"/>
    <w:rsid w:val="006E6E26"/>
    <w:rsid w:val="006E70AA"/>
    <w:rsid w:val="006F16D1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1BEE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0B3A"/>
    <w:rsid w:val="00834D88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32A2A"/>
    <w:rsid w:val="0094346F"/>
    <w:rsid w:val="00953187"/>
    <w:rsid w:val="009551E9"/>
    <w:rsid w:val="0096333E"/>
    <w:rsid w:val="009668EC"/>
    <w:rsid w:val="00972D40"/>
    <w:rsid w:val="00975AEE"/>
    <w:rsid w:val="00977C3B"/>
    <w:rsid w:val="009803CB"/>
    <w:rsid w:val="009901B5"/>
    <w:rsid w:val="009A0A40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716D"/>
    <w:rsid w:val="009D0999"/>
    <w:rsid w:val="009D1FBB"/>
    <w:rsid w:val="009F0698"/>
    <w:rsid w:val="009F22BD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053D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0CF2"/>
    <w:rsid w:val="00AF1D6D"/>
    <w:rsid w:val="00AF5632"/>
    <w:rsid w:val="00AF6D81"/>
    <w:rsid w:val="00AF7DC3"/>
    <w:rsid w:val="00B04913"/>
    <w:rsid w:val="00B07885"/>
    <w:rsid w:val="00B2169A"/>
    <w:rsid w:val="00B312CB"/>
    <w:rsid w:val="00B31D4D"/>
    <w:rsid w:val="00B3616B"/>
    <w:rsid w:val="00B37633"/>
    <w:rsid w:val="00B442B4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204DD"/>
    <w:rsid w:val="00C30E9B"/>
    <w:rsid w:val="00C424FC"/>
    <w:rsid w:val="00C4601E"/>
    <w:rsid w:val="00C51ECC"/>
    <w:rsid w:val="00C600D9"/>
    <w:rsid w:val="00C67ADA"/>
    <w:rsid w:val="00C810E8"/>
    <w:rsid w:val="00C847C2"/>
    <w:rsid w:val="00C851BC"/>
    <w:rsid w:val="00CA6613"/>
    <w:rsid w:val="00CC69AD"/>
    <w:rsid w:val="00CF1664"/>
    <w:rsid w:val="00CF5A8A"/>
    <w:rsid w:val="00D01278"/>
    <w:rsid w:val="00D0335F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6249F"/>
    <w:rsid w:val="00E7385D"/>
    <w:rsid w:val="00E86579"/>
    <w:rsid w:val="00E90A19"/>
    <w:rsid w:val="00E974F8"/>
    <w:rsid w:val="00EA79DA"/>
    <w:rsid w:val="00EC636E"/>
    <w:rsid w:val="00EC7E55"/>
    <w:rsid w:val="00ED6F93"/>
    <w:rsid w:val="00ED7FBB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971D2"/>
  <w15:chartTrackingRefBased/>
  <w15:docId w15:val="{CF2E1113-4B1E-4E8C-9FDA-6E71DA1F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975AEE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11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Yuning/ZL</dc:creator>
  <cp:keywords/>
  <cp:lastModifiedBy>ZL</cp:lastModifiedBy>
  <cp:revision>7</cp:revision>
  <cp:lastPrinted>2022-03-20T13:18:00Z</cp:lastPrinted>
  <dcterms:created xsi:type="dcterms:W3CDTF">2023-10-19T11:07:00Z</dcterms:created>
  <dcterms:modified xsi:type="dcterms:W3CDTF">2023-10-23T02:35:00Z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