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sz w:val="36"/>
          <w:szCs w:val="36"/>
        </w:rPr>
        <w:t>经营者集中简易案件公示表</w:t>
      </w:r>
    </w:p>
    <w:tbl>
      <w:tblPr>
        <w:tblStyle w:val="7"/>
        <w:tblW w:w="964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案件名称</w:t>
            </w:r>
          </w:p>
        </w:tc>
        <w:tc>
          <w:tcPr>
            <w:tcW w:w="7700" w:type="dxa"/>
            <w:gridSpan w:val="2"/>
            <w:vAlign w:val="center"/>
          </w:tcPr>
          <w:p>
            <w:pPr>
              <w:adjustRightInd w:val="0"/>
              <w:snapToGrid w:val="0"/>
              <w:rPr>
                <w:rFonts w:ascii="宋体" w:hAnsi="宋体" w:cs="宋体"/>
                <w:bCs/>
                <w:color w:val="000000"/>
                <w:szCs w:val="21"/>
              </w:rPr>
            </w:pPr>
            <w:r>
              <w:rPr>
                <w:rFonts w:hint="eastAsia" w:ascii="宋体" w:hAnsi="宋体" w:cs="宋体"/>
                <w:bCs/>
                <w:color w:val="000000"/>
                <w:szCs w:val="21"/>
              </w:rPr>
              <w:t>深圳供电局有限公司与深圳市特区建设发展集团有限公司新设合营企业案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交易概况（限200字内）</w:t>
            </w:r>
          </w:p>
        </w:tc>
        <w:tc>
          <w:tcPr>
            <w:tcW w:w="7700" w:type="dxa"/>
            <w:gridSpan w:val="2"/>
            <w:vAlign w:val="center"/>
          </w:tcPr>
          <w:p>
            <w:pPr>
              <w:pStyle w:val="2"/>
            </w:pPr>
            <w:r>
              <w:rPr>
                <w:rFonts w:hint="eastAsia" w:ascii="宋体" w:hAnsi="宋体" w:cs="宋体"/>
                <w:szCs w:val="21"/>
              </w:rPr>
              <w:t>2023年11月，</w:t>
            </w:r>
            <w:r>
              <w:rPr>
                <w:rFonts w:hint="eastAsia" w:ascii="宋体" w:hAnsi="宋体" w:cs="宋体"/>
                <w:bCs/>
                <w:color w:val="000000"/>
                <w:szCs w:val="21"/>
              </w:rPr>
              <w:t>深圳供电局有限公司</w:t>
            </w:r>
            <w:r>
              <w:rPr>
                <w:rFonts w:hint="eastAsia" w:ascii="宋体" w:hAnsi="宋体" w:cs="宋体"/>
                <w:szCs w:val="21"/>
              </w:rPr>
              <w:t>（“深圳供电局”）与</w:t>
            </w:r>
            <w:r>
              <w:rPr>
                <w:rFonts w:hint="eastAsia" w:ascii="宋体" w:hAnsi="宋体" w:cs="宋体"/>
                <w:bCs/>
                <w:color w:val="000000"/>
                <w:szCs w:val="21"/>
              </w:rPr>
              <w:t>深圳市特区建设发展集团有限公司</w:t>
            </w:r>
            <w:r>
              <w:rPr>
                <w:rFonts w:hint="eastAsia" w:ascii="宋体" w:hAnsi="宋体" w:cs="宋体"/>
                <w:szCs w:val="21"/>
              </w:rPr>
              <w:t>（“特区建发集团”）签署合作协议，拟在广东省深圳市成立一家合营企业，主要从事输配电工程施工</w:t>
            </w:r>
            <w:bookmarkStart w:id="0" w:name="_GoBack"/>
            <w:bookmarkEnd w:id="0"/>
            <w:r>
              <w:rPr>
                <w:rFonts w:hint="eastAsia" w:ascii="宋体" w:hAnsi="宋体" w:cs="宋体"/>
                <w:szCs w:val="21"/>
              </w:rPr>
              <w:t>业务。交易后，深圳供电局和特区建发集团将分别持有合营企业50%</w:t>
            </w:r>
            <w:r>
              <w:rPr>
                <w:rFonts w:hint="eastAsia" w:ascii="宋体" w:hAnsi="宋体" w:cs="宋体"/>
                <w:bCs/>
                <w:szCs w:val="21"/>
                <w:lang w:bidi="ar"/>
              </w:rPr>
              <w:t>、50%</w:t>
            </w:r>
            <w:r>
              <w:rPr>
                <w:rFonts w:hint="eastAsia" w:ascii="宋体" w:hAnsi="宋体" w:cs="宋体"/>
                <w:szCs w:val="21"/>
              </w:rPr>
              <w:t>股权，并共同控制合营企业。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参与集中的经营者简介</w:t>
            </w:r>
          </w:p>
        </w:tc>
        <w:tc>
          <w:tcPr>
            <w:tcW w:w="1607" w:type="dxa"/>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1.深圳供电局</w:t>
            </w:r>
          </w:p>
        </w:tc>
        <w:tc>
          <w:tcPr>
            <w:tcW w:w="6093" w:type="dxa"/>
            <w:vAlign w:val="center"/>
          </w:tcPr>
          <w:p>
            <w:pPr>
              <w:adjustRightInd w:val="0"/>
              <w:snapToGrid w:val="0"/>
              <w:rPr>
                <w:rFonts w:ascii="宋体" w:hAnsi="宋体" w:cs="宋体"/>
                <w:szCs w:val="21"/>
              </w:rPr>
            </w:pPr>
            <w:r>
              <w:rPr>
                <w:rFonts w:hint="eastAsia" w:ascii="宋体" w:hAnsi="宋体" w:cs="宋体"/>
                <w:bCs/>
                <w:color w:val="000000"/>
                <w:szCs w:val="21"/>
              </w:rPr>
              <w:t>深圳供电局</w:t>
            </w:r>
            <w:r>
              <w:rPr>
                <w:rFonts w:hint="eastAsia" w:ascii="宋体" w:hAnsi="宋体" w:cs="宋体"/>
                <w:szCs w:val="21"/>
                <w:lang w:bidi="ar"/>
              </w:rPr>
              <w:t>于2012年1月31日成立于</w:t>
            </w:r>
            <w:r>
              <w:rPr>
                <w:rFonts w:hint="eastAsia" w:ascii="宋体" w:hAnsi="宋体" w:cs="宋体"/>
                <w:bCs/>
                <w:color w:val="000000"/>
                <w:szCs w:val="21"/>
                <w:lang w:bidi="ar"/>
              </w:rPr>
              <w:t>中国广东省深圳市</w:t>
            </w:r>
            <w:r>
              <w:rPr>
                <w:rFonts w:hint="eastAsia" w:ascii="宋体" w:hAnsi="宋体" w:cs="宋体"/>
                <w:szCs w:val="21"/>
                <w:lang w:bidi="ar"/>
              </w:rPr>
              <w:t>，主要从事投资、规划、建设、经营和管理深圳电网，经营相关的输配电和售电业务。</w:t>
            </w:r>
          </w:p>
          <w:p>
            <w:pPr>
              <w:widowControl/>
              <w:jc w:val="left"/>
              <w:rPr>
                <w:rFonts w:ascii="宋体" w:hAnsi="宋体" w:cs="宋体"/>
                <w:bCs/>
                <w:color w:val="000000"/>
                <w:szCs w:val="21"/>
              </w:rPr>
            </w:pPr>
            <w:r>
              <w:rPr>
                <w:rFonts w:hint="eastAsia" w:ascii="宋体" w:hAnsi="宋体" w:cs="宋体"/>
                <w:bCs/>
                <w:color w:val="000000"/>
                <w:szCs w:val="21"/>
                <w:lang w:bidi="ar"/>
              </w:rPr>
              <w:t>深圳供电局</w:t>
            </w:r>
            <w:r>
              <w:rPr>
                <w:rFonts w:hint="eastAsia" w:ascii="宋体" w:hAnsi="宋体" w:cs="宋体"/>
                <w:szCs w:val="21"/>
                <w:lang w:bidi="ar"/>
              </w:rPr>
              <w:t>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1607" w:type="dxa"/>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2.特区建发集团</w:t>
            </w:r>
          </w:p>
        </w:tc>
        <w:tc>
          <w:tcPr>
            <w:tcW w:w="6093" w:type="dxa"/>
            <w:vAlign w:val="center"/>
          </w:tcPr>
          <w:p>
            <w:pPr>
              <w:adjustRightInd w:val="0"/>
              <w:snapToGrid w:val="0"/>
              <w:rPr>
                <w:rFonts w:ascii="宋体" w:hAnsi="宋体" w:cs="宋体"/>
                <w:bCs/>
                <w:color w:val="000000"/>
                <w:szCs w:val="21"/>
                <w:lang w:bidi="ar"/>
              </w:rPr>
            </w:pPr>
            <w:r>
              <w:rPr>
                <w:rFonts w:hint="eastAsia" w:ascii="宋体" w:hAnsi="宋体" w:cs="宋体"/>
                <w:bCs/>
                <w:color w:val="000000"/>
                <w:szCs w:val="21"/>
                <w:lang w:bidi="ar"/>
              </w:rPr>
              <w:t>特区建发集团于2011年9月9日成立于中国广东省深圳市，主要从事城市基础设施投资建设运营、产业园区为主的房地产项目开发运营及相关产业投资业务。</w:t>
            </w:r>
          </w:p>
          <w:p>
            <w:pPr>
              <w:adjustRightInd w:val="0"/>
              <w:snapToGrid w:val="0"/>
              <w:rPr>
                <w:rFonts w:ascii="宋体" w:hAnsi="宋体" w:cs="宋体"/>
                <w:bCs/>
                <w:color w:val="000000"/>
                <w:szCs w:val="21"/>
                <w:lang w:bidi="ar"/>
              </w:rPr>
            </w:pPr>
            <w:r>
              <w:rPr>
                <w:rFonts w:hint="eastAsia" w:ascii="宋体" w:hAnsi="宋体" w:cs="宋体"/>
                <w:bCs/>
                <w:color w:val="000000"/>
                <w:szCs w:val="21"/>
                <w:lang w:bidi="ar"/>
              </w:rPr>
              <w:t>特区建发集团为深圳市人民政府国有资产监督管理委员会下属企业。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简易案件理由（可以单选，也可以多选）</w:t>
            </w: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FE"/>
            </w:r>
            <w:r>
              <w:rPr>
                <w:rFonts w:hint="eastAsia" w:ascii="宋体" w:hAnsi="宋体" w:cs="宋体"/>
                <w:bCs/>
                <w:color w:val="000000"/>
                <w:szCs w:val="21"/>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pPr>
              <w:pStyle w:val="3"/>
              <w:adjustRightInd w:val="0"/>
              <w:snapToGrid w:val="0"/>
              <w:spacing w:after="0"/>
              <w:rPr>
                <w:rFonts w:ascii="宋体" w:hAnsi="宋体" w:cs="宋体"/>
                <w:bCs/>
                <w:color w:val="000000"/>
                <w:szCs w:val="21"/>
              </w:rPr>
            </w:pPr>
          </w:p>
        </w:tc>
        <w:tc>
          <w:tcPr>
            <w:tcW w:w="7700" w:type="dxa"/>
            <w:gridSpan w:val="2"/>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sym w:font="Wingdings" w:char="00A8"/>
            </w:r>
            <w:r>
              <w:rPr>
                <w:rFonts w:hint="eastAsia" w:ascii="宋体" w:hAnsi="宋体" w:cs="宋体"/>
                <w:bCs/>
                <w:color w:val="000000"/>
                <w:szCs w:val="21"/>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50" w:hRule="atLeast"/>
          <w:jc w:val="center"/>
        </w:trPr>
        <w:tc>
          <w:tcPr>
            <w:tcW w:w="1940" w:type="dxa"/>
            <w:shd w:val="clear" w:color="auto" w:fill="D9D9D9"/>
            <w:vAlign w:val="center"/>
          </w:tcPr>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备注</w:t>
            </w:r>
          </w:p>
        </w:tc>
        <w:tc>
          <w:tcPr>
            <w:tcW w:w="7700" w:type="dxa"/>
            <w:gridSpan w:val="2"/>
            <w:vAlign w:val="center"/>
          </w:tcPr>
          <w:p>
            <w:pPr>
              <w:pStyle w:val="6"/>
              <w:adjustRightInd w:val="0"/>
              <w:snapToGrid w:val="0"/>
              <w:rPr>
                <w:rFonts w:ascii="宋体" w:hAnsi="宋体" w:cs="宋体"/>
                <w:b/>
                <w:color w:val="000000"/>
                <w:szCs w:val="21"/>
              </w:rPr>
            </w:pPr>
            <w:r>
              <w:rPr>
                <w:rFonts w:hint="eastAsia" w:ascii="宋体" w:hAnsi="宋体" w:cs="宋体"/>
                <w:b/>
                <w:color w:val="000000"/>
                <w:sz w:val="21"/>
                <w:szCs w:val="21"/>
                <w:lang w:bidi="ar"/>
              </w:rPr>
              <w:t>混合集中：</w:t>
            </w:r>
          </w:p>
          <w:p>
            <w:pPr>
              <w:pStyle w:val="6"/>
              <w:adjustRightInd w:val="0"/>
              <w:snapToGrid w:val="0"/>
              <w:rPr>
                <w:rFonts w:ascii="宋体" w:hAnsi="宋体" w:cs="宋体"/>
                <w:bCs/>
                <w:color w:val="000000"/>
                <w:szCs w:val="21"/>
              </w:rPr>
            </w:pPr>
            <w:r>
              <w:rPr>
                <w:rFonts w:hint="eastAsia" w:ascii="宋体" w:hAnsi="宋体" w:cs="宋体"/>
                <w:bCs/>
                <w:color w:val="000000"/>
                <w:sz w:val="21"/>
                <w:szCs w:val="21"/>
                <w:lang w:bidi="ar"/>
              </w:rPr>
              <w:t>2022年中国境内输配电工程施工市场:</w:t>
            </w:r>
          </w:p>
          <w:p>
            <w:pPr>
              <w:widowControl/>
              <w:jc w:val="left"/>
              <w:rPr>
                <w:rFonts w:ascii="宋体" w:hAnsi="宋体" w:cs="宋体"/>
                <w:bCs/>
                <w:color w:val="000000"/>
                <w:szCs w:val="21"/>
              </w:rPr>
            </w:pPr>
            <w:r>
              <w:rPr>
                <w:rFonts w:hint="eastAsia" w:ascii="宋体" w:hAnsi="宋体" w:cs="宋体"/>
                <w:bCs/>
                <w:color w:val="000000"/>
                <w:szCs w:val="21"/>
                <w:lang w:bidi="ar"/>
              </w:rPr>
              <w:t>深圳供电局：0-5%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E4NmQ4MDljNGUyYjMyNDgzMTM2NTI0M2NjYjUwN2IifQ=="/>
  </w:docVars>
  <w:rsids>
    <w:rsidRoot w:val="7174130E"/>
    <w:rsid w:val="001A7AED"/>
    <w:rsid w:val="001D541E"/>
    <w:rsid w:val="001E6826"/>
    <w:rsid w:val="00262438"/>
    <w:rsid w:val="00325120"/>
    <w:rsid w:val="00332972"/>
    <w:rsid w:val="003A67E6"/>
    <w:rsid w:val="0041040E"/>
    <w:rsid w:val="004C4973"/>
    <w:rsid w:val="006240B5"/>
    <w:rsid w:val="00645770"/>
    <w:rsid w:val="00671C41"/>
    <w:rsid w:val="00701701"/>
    <w:rsid w:val="008843AF"/>
    <w:rsid w:val="00930E9C"/>
    <w:rsid w:val="00987A37"/>
    <w:rsid w:val="00C71F6F"/>
    <w:rsid w:val="00C8461B"/>
    <w:rsid w:val="00CB311C"/>
    <w:rsid w:val="00D023DD"/>
    <w:rsid w:val="00D767CE"/>
    <w:rsid w:val="00ED1016"/>
    <w:rsid w:val="00EE7F6E"/>
    <w:rsid w:val="00EF6369"/>
    <w:rsid w:val="00F87C85"/>
    <w:rsid w:val="01BD6E8E"/>
    <w:rsid w:val="04FE49DF"/>
    <w:rsid w:val="06983A5E"/>
    <w:rsid w:val="0D1B4D04"/>
    <w:rsid w:val="0F7C2E88"/>
    <w:rsid w:val="13434E27"/>
    <w:rsid w:val="3B7E785C"/>
    <w:rsid w:val="3F1148AF"/>
    <w:rsid w:val="4B662354"/>
    <w:rsid w:val="4BC04353"/>
    <w:rsid w:val="4E2A34C8"/>
    <w:rsid w:val="52BB1A41"/>
    <w:rsid w:val="54923E96"/>
    <w:rsid w:val="5D312295"/>
    <w:rsid w:val="672040F7"/>
    <w:rsid w:val="6E083615"/>
    <w:rsid w:val="7174130E"/>
    <w:rsid w:val="7BB97B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link w:val="11"/>
    <w:unhideWhenUsed/>
    <w:qFormat/>
    <w:uiPriority w:val="99"/>
    <w:pPr>
      <w:spacing w:after="120"/>
    </w:p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9"/>
    <w:qFormat/>
    <w:uiPriority w:val="0"/>
    <w:pPr>
      <w:tabs>
        <w:tab w:val="center" w:pos="4153"/>
        <w:tab w:val="right" w:pos="8306"/>
      </w:tabs>
      <w:snapToGrid w:val="0"/>
      <w:jc w:val="center"/>
    </w:pPr>
    <w:rPr>
      <w:sz w:val="18"/>
      <w:szCs w:val="18"/>
    </w:rPr>
  </w:style>
  <w:style w:type="paragraph" w:styleId="6">
    <w:name w:val="Normal (Web)"/>
    <w:basedOn w:val="1"/>
    <w:qFormat/>
    <w:uiPriority w:val="0"/>
    <w:rPr>
      <w:sz w:val="24"/>
    </w:rPr>
  </w:style>
  <w:style w:type="character" w:customStyle="1" w:styleId="9">
    <w:name w:val="页眉 字符"/>
    <w:basedOn w:val="8"/>
    <w:link w:val="5"/>
    <w:qFormat/>
    <w:uiPriority w:val="0"/>
    <w:rPr>
      <w:rFonts w:ascii="Times New Roman" w:hAnsi="Times New Roman" w:eastAsia="宋体" w:cs="Times New Roman"/>
      <w:kern w:val="2"/>
      <w:sz w:val="18"/>
      <w:szCs w:val="18"/>
    </w:rPr>
  </w:style>
  <w:style w:type="character" w:customStyle="1" w:styleId="10">
    <w:name w:val="页脚 字符"/>
    <w:basedOn w:val="8"/>
    <w:link w:val="4"/>
    <w:qFormat/>
    <w:uiPriority w:val="0"/>
    <w:rPr>
      <w:rFonts w:ascii="Times New Roman" w:hAnsi="Times New Roman" w:eastAsia="宋体" w:cs="Times New Roman"/>
      <w:kern w:val="2"/>
      <w:sz w:val="18"/>
      <w:szCs w:val="18"/>
    </w:rPr>
  </w:style>
  <w:style w:type="character" w:customStyle="1" w:styleId="11">
    <w:name w:val="正文文本 字符"/>
    <w:basedOn w:val="8"/>
    <w:link w:val="3"/>
    <w:qFormat/>
    <w:uiPriority w:val="0"/>
    <w:rPr>
      <w:kern w:val="2"/>
      <w:sz w:val="21"/>
      <w:szCs w:val="24"/>
    </w:rPr>
  </w:style>
  <w:style w:type="character" w:customStyle="1" w:styleId="12">
    <w:name w:val="正文文本首行缩进 字符"/>
    <w:uiPriority w:val="0"/>
    <w:rPr>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其他省直机关单位</Company>
  <Pages>1</Pages>
  <Words>120</Words>
  <Characters>684</Characters>
  <Lines>5</Lines>
  <Paragraphs>1</Paragraphs>
  <TotalTime>13</TotalTime>
  <ScaleCrop>false</ScaleCrop>
  <LinksUpToDate>false</LinksUpToDate>
  <CharactersWithSpaces>803</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2023-10-21T03:55:00Z</dcterms:created>
  <dc:creator>xianlun xue</dc:creator>
  <cp:lastModifiedBy>zhangzc</cp:lastModifiedBy>
  <dcterms:modified xsi:type="dcterms:W3CDTF">2023-12-12T02:28:17Z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E177D522CDCD4DEDBAD72328415D06D3_13</vt:lpwstr>
  </property>
</Properties>
</file>