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方正小标宋简体" w:cs="Times New Roman"/>
          <w:bCs/>
          <w:kern w:val="0"/>
          <w:sz w:val="44"/>
          <w:szCs w:val="44"/>
          <w:lang w:val="en-GB" w:bidi="ar-AE"/>
        </w:rPr>
      </w:pPr>
      <w:bookmarkStart w:id="0" w:name="_GoBack"/>
      <w:bookmarkEnd w:id="0"/>
      <w:r>
        <w:rPr>
          <w:rFonts w:hint="default" w:ascii="Times New Roman" w:hAnsi="Times New Roman" w:eastAsia="黑体" w:cs="Times New Roman"/>
          <w:bCs/>
          <w:sz w:val="44"/>
          <w:szCs w:val="44"/>
          <w:lang w:val="en-US" w:eastAsia="zh-CN"/>
        </w:rPr>
        <w:t xml:space="preserve"> </w:t>
      </w:r>
      <w:r>
        <w:rPr>
          <w:rFonts w:hint="default" w:ascii="Times New Roman" w:hAnsi="Times New Roman" w:eastAsia="方正小标宋简体" w:cs="Times New Roman"/>
          <w:bCs/>
          <w:kern w:val="0"/>
          <w:sz w:val="44"/>
          <w:szCs w:val="44"/>
          <w:lang w:val="en-GB" w:bidi="ar-AE"/>
        </w:rPr>
        <w:t>经营者集中简易案件公示表</w:t>
      </w:r>
    </w:p>
    <w:tbl>
      <w:tblPr>
        <w:tblStyle w:val="12"/>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案件名称</w:t>
            </w:r>
          </w:p>
        </w:tc>
        <w:tc>
          <w:tcPr>
            <w:tcW w:w="7700" w:type="dxa"/>
            <w:gridSpan w:val="2"/>
            <w:shd w:val="clear" w:color="auto" w:fill="auto"/>
            <w:vAlign w:val="center"/>
          </w:tcPr>
          <w:p>
            <w:pPr>
              <w:adjustRightInd w:val="0"/>
              <w:snapToGrid w:val="0"/>
              <w:rPr>
                <w:rFonts w:hint="default" w:ascii="Times New Roman" w:hAnsi="Times New Roman" w:cs="Times New Roman"/>
                <w:bCs/>
                <w:color w:val="000000"/>
                <w:szCs w:val="21"/>
              </w:rPr>
            </w:pPr>
            <w:r>
              <w:rPr>
                <w:rFonts w:hint="default" w:ascii="Times New Roman" w:hAnsi="Times New Roman" w:eastAsia="宋体" w:cs="Times New Roman"/>
                <w:bCs/>
                <w:color w:val="000000"/>
                <w:sz w:val="22"/>
                <w:szCs w:val="22"/>
                <w:lang w:val="en-US"/>
              </w:rPr>
              <w:t>珠海市粤信宸投资有限责任公司收购珠海大横琴创新发展有限公司股权案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5"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交易概况</w:t>
            </w:r>
          </w:p>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（限200字内）</w:t>
            </w:r>
          </w:p>
        </w:tc>
        <w:tc>
          <w:tcPr>
            <w:tcW w:w="7700" w:type="dxa"/>
            <w:gridSpan w:val="2"/>
            <w:vAlign w:val="center"/>
          </w:tcPr>
          <w:p>
            <w:pPr>
              <w:adjustRightInd w:val="0"/>
              <w:snapToGrid w:val="0"/>
              <w:rPr>
                <w:rFonts w:hint="default" w:ascii="Times New Roman" w:hAnsi="Times New Roman" w:cs="Times New Roman"/>
                <w:bCs/>
                <w:color w:val="000000"/>
                <w:szCs w:val="21"/>
              </w:rPr>
            </w:pPr>
            <w:r>
              <w:rPr>
                <w:rFonts w:hint="default" w:ascii="Times New Roman" w:hAnsi="Times New Roman" w:eastAsia="宋体" w:cs="Times New Roman"/>
                <w:bCs/>
                <w:color w:val="000000"/>
                <w:sz w:val="22"/>
                <w:szCs w:val="22"/>
                <w:lang w:val="en-US" w:eastAsia="zh-CN"/>
              </w:rPr>
              <w:t>珠海市粤信宸投资有限责任公司（“珠海粤信宸”）、珠海大横琴集团有限公司（“大横琴集团”）、珠海大横琴置业有限公司（“大横琴置业”）、珠海大横琴创新发展有限公司（“大横琴创新”）</w:t>
            </w:r>
            <w:r>
              <w:rPr>
                <w:rFonts w:hint="default" w:ascii="Times New Roman" w:hAnsi="Times New Roman" w:eastAsia="宋体" w:cs="Times New Roman"/>
                <w:bCs/>
                <w:color w:val="000000"/>
                <w:sz w:val="22"/>
                <w:szCs w:val="22"/>
                <w:lang w:val="en-US"/>
              </w:rPr>
              <w:t>签署</w:t>
            </w:r>
            <w:r>
              <w:rPr>
                <w:rFonts w:hint="default" w:ascii="Times New Roman" w:hAnsi="Times New Roman" w:eastAsia="宋体" w:cs="Times New Roman"/>
                <w:bCs/>
                <w:color w:val="000000"/>
                <w:sz w:val="22"/>
                <w:szCs w:val="22"/>
                <w:lang w:val="en-US" w:eastAsia="zh-CN"/>
              </w:rPr>
              <w:t>协议</w:t>
            </w:r>
            <w:r>
              <w:rPr>
                <w:rFonts w:hint="default" w:ascii="Times New Roman" w:hAnsi="Times New Roman" w:eastAsia="宋体" w:cs="Times New Roman"/>
                <w:bCs/>
                <w:color w:val="000000"/>
                <w:sz w:val="22"/>
                <w:szCs w:val="22"/>
                <w:lang w:val="en-US"/>
              </w:rPr>
              <w:t>，</w:t>
            </w:r>
            <w:r>
              <w:rPr>
                <w:rFonts w:hint="default" w:ascii="Times New Roman" w:hAnsi="Times New Roman" w:eastAsia="宋体" w:cs="Times New Roman"/>
                <w:bCs/>
                <w:color w:val="000000"/>
                <w:sz w:val="22"/>
                <w:szCs w:val="22"/>
                <w:lang w:val="en-US" w:eastAsia="zh-CN"/>
              </w:rPr>
              <w:t>珠海粤信宸拟收购大横琴创新51%股权。大横琴创新</w:t>
            </w:r>
            <w:r>
              <w:rPr>
                <w:rFonts w:hint="default" w:ascii="Times New Roman" w:hAnsi="Times New Roman" w:eastAsia="宋体" w:cs="Times New Roman"/>
                <w:bCs/>
                <w:color w:val="000000"/>
                <w:sz w:val="22"/>
                <w:szCs w:val="22"/>
              </w:rPr>
              <w:t>主要在珠海市从事写字楼开发与运营</w:t>
            </w:r>
            <w:r>
              <w:rPr>
                <w:rFonts w:hint="default" w:ascii="Times New Roman" w:hAnsi="Times New Roman" w:eastAsia="宋体" w:cs="Times New Roman"/>
                <w:bCs/>
                <w:color w:val="000000"/>
                <w:sz w:val="22"/>
                <w:szCs w:val="22"/>
                <w:lang w:eastAsia="zh-CN"/>
              </w:rPr>
              <w:t>业务。</w:t>
            </w:r>
            <w:r>
              <w:rPr>
                <w:rFonts w:hint="default" w:ascii="Times New Roman" w:hAnsi="Times New Roman" w:eastAsia="宋体" w:cs="Times New Roman"/>
                <w:bCs/>
                <w:color w:val="000000"/>
                <w:sz w:val="22"/>
                <w:szCs w:val="22"/>
                <w:lang w:val="en-US" w:eastAsia="zh-CN"/>
              </w:rPr>
              <w:t>交易前，大横琴置业持有大横琴创新100%的股权，单独控制大横琴创新。</w:t>
            </w:r>
            <w:r>
              <w:rPr>
                <w:rFonts w:hint="default" w:ascii="Times New Roman" w:hAnsi="Times New Roman" w:eastAsia="宋体" w:cs="Times New Roman"/>
                <w:bCs/>
                <w:color w:val="000000"/>
                <w:kern w:val="2"/>
                <w:sz w:val="22"/>
                <w:szCs w:val="22"/>
                <w:lang w:val="en-US" w:eastAsia="zh-CN"/>
              </w:rPr>
              <w:t>交易后，珠海粤信宸与大横琴置业分别持有大横琴创新51%和49%的股权，二者共同控制大横琴创新。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restart"/>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参与集中的</w:t>
            </w:r>
          </w:p>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经营者简介</w:t>
            </w:r>
          </w:p>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（每个限100</w:t>
            </w:r>
          </w:p>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字以内）</w:t>
            </w:r>
          </w:p>
        </w:tc>
        <w:tc>
          <w:tcPr>
            <w:tcW w:w="1607" w:type="dxa"/>
            <w:vAlign w:val="center"/>
          </w:tcPr>
          <w:p>
            <w:pPr>
              <w:pStyle w:val="7"/>
              <w:adjustRightInd w:val="0"/>
              <w:snapToGrid w:val="0"/>
              <w:spacing w:after="0"/>
              <w:rPr>
                <w:rFonts w:hint="default" w:ascii="Times New Roman" w:hAnsi="Times New Roman" w:eastAsia="宋体" w:cs="Times New Roman"/>
                <w:bCs/>
                <w:color w:val="000000"/>
                <w:sz w:val="22"/>
                <w:szCs w:val="22"/>
                <w:lang w:eastAsia="zh-CN"/>
              </w:rPr>
            </w:pPr>
            <w:r>
              <w:rPr>
                <w:rFonts w:hint="default" w:ascii="Times New Roman" w:hAnsi="Times New Roman" w:cs="Times New Roman"/>
                <w:bCs/>
                <w:color w:val="000000"/>
                <w:sz w:val="22"/>
                <w:szCs w:val="22"/>
              </w:rPr>
              <w:t>1.</w:t>
            </w:r>
            <w:r>
              <w:rPr>
                <w:rFonts w:hint="default" w:ascii="Times New Roman" w:hAnsi="Times New Roman" w:eastAsia="宋体" w:cs="Times New Roman"/>
                <w:bCs/>
                <w:color w:val="000000"/>
                <w:sz w:val="22"/>
                <w:szCs w:val="22"/>
                <w:lang w:val="en-US" w:eastAsia="zh-CN"/>
              </w:rPr>
              <w:t>珠海粤信宸</w:t>
            </w:r>
          </w:p>
        </w:tc>
        <w:tc>
          <w:tcPr>
            <w:tcW w:w="6093" w:type="dxa"/>
            <w:vAlign w:val="center"/>
          </w:tcPr>
          <w:p>
            <w:pPr>
              <w:widowControl/>
              <w:adjustRightInd w:val="0"/>
              <w:snapToGrid w:val="0"/>
              <w:spacing w:after="0"/>
              <w:jc w:val="left"/>
              <w:rPr>
                <w:rFonts w:hint="default" w:ascii="Times New Roman" w:hAnsi="Times New Roman" w:eastAsia="宋体" w:cs="Times New Roman"/>
                <w:bCs/>
                <w:color w:val="000000"/>
                <w:sz w:val="22"/>
                <w:szCs w:val="22"/>
                <w:lang w:val="en-US" w:eastAsia="zh-CN" w:bidi="ar"/>
              </w:rPr>
            </w:pPr>
            <w:r>
              <w:rPr>
                <w:rFonts w:hint="default" w:ascii="Times New Roman" w:hAnsi="Times New Roman" w:eastAsia="宋体" w:cs="Times New Roman"/>
                <w:bCs/>
                <w:color w:val="000000"/>
                <w:sz w:val="22"/>
                <w:szCs w:val="22"/>
                <w:lang w:val="en-US" w:eastAsia="zh-CN" w:bidi="ar"/>
              </w:rPr>
              <w:t>珠海粤信宸于2024年7月15日成立于广东省珠海市，主要业务为以自有资金从事</w:t>
            </w:r>
            <w:r>
              <w:rPr>
                <w:rFonts w:hint="default" w:ascii="Times New Roman" w:hAnsi="Times New Roman" w:cs="Times New Roman"/>
                <w:bCs/>
                <w:color w:val="000000"/>
                <w:sz w:val="22"/>
                <w:szCs w:val="22"/>
                <w:lang w:val="en-US" w:eastAsia="zh-CN" w:bidi="ar"/>
              </w:rPr>
              <w:t>商业服务业</w:t>
            </w:r>
            <w:r>
              <w:rPr>
                <w:rFonts w:hint="default" w:ascii="Times New Roman" w:hAnsi="Times New Roman" w:eastAsia="宋体" w:cs="Times New Roman"/>
                <w:bCs/>
                <w:color w:val="000000"/>
                <w:sz w:val="22"/>
                <w:szCs w:val="22"/>
                <w:lang w:val="en-US" w:eastAsia="zh-CN" w:bidi="ar"/>
              </w:rPr>
              <w:t>投资活动。</w:t>
            </w:r>
          </w:p>
          <w:p>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bCs/>
                <w:color w:val="000000"/>
                <w:sz w:val="22"/>
                <w:szCs w:val="22"/>
                <w:lang w:bidi="ar"/>
              </w:rPr>
            </w:pPr>
            <w:r>
              <w:rPr>
                <w:rFonts w:hint="default" w:ascii="Times New Roman" w:hAnsi="Times New Roman" w:eastAsia="宋体" w:cs="Times New Roman"/>
                <w:bCs/>
                <w:color w:val="000000"/>
                <w:sz w:val="22"/>
                <w:szCs w:val="22"/>
                <w:lang w:val="en-US" w:eastAsia="zh-CN" w:bidi="ar"/>
              </w:rPr>
              <w:t>珠海粤信宸最终控制人为中国信达，主要业务为不良资产经营业务，包括围绕不良资产开展的债权资产经营、债转股资产经营、其他不良资产经营与受托经营业务等；金融服务业务，包括银行、证券、期货、公募基金、信托和租赁业务等。</w:t>
            </w:r>
          </w:p>
          <w:p>
            <w:pPr>
              <w:pStyle w:val="7"/>
              <w:adjustRightInd w:val="0"/>
              <w:snapToGrid w:val="0"/>
              <w:spacing w:after="0"/>
              <w:rPr>
                <w:rFonts w:hint="default" w:ascii="Times New Roman" w:hAnsi="Times New Roman" w:eastAsia="宋体" w:cs="Times New Roman"/>
                <w:bCs/>
                <w:color w:val="000000"/>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1607" w:type="dxa"/>
            <w:vAlign w:val="center"/>
          </w:tcPr>
          <w:p>
            <w:pPr>
              <w:pStyle w:val="7"/>
              <w:adjustRightInd w:val="0"/>
              <w:snapToGrid w:val="0"/>
              <w:spacing w:after="0"/>
              <w:rPr>
                <w:rFonts w:hint="default" w:ascii="Times New Roman" w:hAnsi="Times New Roman" w:eastAsia="宋体" w:cs="Times New Roman"/>
                <w:bCs/>
                <w:color w:val="000000"/>
                <w:sz w:val="22"/>
                <w:szCs w:val="22"/>
                <w:lang w:eastAsia="zh-CN"/>
              </w:rPr>
            </w:pPr>
            <w:r>
              <w:rPr>
                <w:rFonts w:hint="default" w:ascii="Times New Roman" w:hAnsi="Times New Roman" w:cs="Times New Roman"/>
                <w:bCs/>
                <w:color w:val="000000"/>
                <w:sz w:val="22"/>
                <w:szCs w:val="22"/>
              </w:rPr>
              <w:t>2.</w:t>
            </w:r>
            <w:r>
              <w:rPr>
                <w:rFonts w:hint="default" w:ascii="Times New Roman" w:hAnsi="Times New Roman" w:eastAsia="宋体" w:cs="Times New Roman"/>
                <w:bCs/>
                <w:color w:val="000000"/>
                <w:sz w:val="22"/>
                <w:szCs w:val="22"/>
                <w:lang w:val="en-US" w:eastAsia="zh-CN"/>
              </w:rPr>
              <w:t>大横琴置业</w:t>
            </w:r>
          </w:p>
        </w:tc>
        <w:tc>
          <w:tcPr>
            <w:tcW w:w="6093" w:type="dxa"/>
            <w:vAlign w:val="center"/>
          </w:tcPr>
          <w:p>
            <w:pPr>
              <w:widowControl/>
              <w:adjustRightInd w:val="0"/>
              <w:snapToGrid w:val="0"/>
              <w:spacing w:after="0"/>
              <w:jc w:val="left"/>
              <w:rPr>
                <w:rFonts w:hint="default" w:ascii="Times New Roman" w:hAnsi="Times New Roman" w:eastAsia="宋体" w:cs="Times New Roman"/>
                <w:bCs/>
                <w:color w:val="000000"/>
                <w:sz w:val="22"/>
                <w:szCs w:val="22"/>
                <w:lang w:val="en-US" w:eastAsia="zh-CN" w:bidi="ar"/>
              </w:rPr>
            </w:pPr>
            <w:r>
              <w:rPr>
                <w:rFonts w:hint="default" w:ascii="Times New Roman" w:hAnsi="Times New Roman" w:eastAsia="宋体" w:cs="Times New Roman"/>
                <w:bCs/>
                <w:color w:val="000000"/>
                <w:sz w:val="22"/>
                <w:szCs w:val="22"/>
                <w:lang w:val="en-US" w:eastAsia="zh-CN" w:bidi="ar"/>
              </w:rPr>
              <w:t>大横琴置业</w:t>
            </w:r>
            <w:r>
              <w:rPr>
                <w:rFonts w:hint="default" w:ascii="Times New Roman" w:hAnsi="Times New Roman" w:eastAsia="宋体" w:cs="Times New Roman"/>
                <w:bCs/>
                <w:color w:val="000000"/>
                <w:sz w:val="22"/>
                <w:szCs w:val="22"/>
                <w:lang w:bidi="ar"/>
              </w:rPr>
              <w:t>于20</w:t>
            </w:r>
            <w:r>
              <w:rPr>
                <w:rFonts w:hint="default" w:ascii="Times New Roman" w:hAnsi="Times New Roman" w:eastAsia="宋体" w:cs="Times New Roman"/>
                <w:bCs/>
                <w:color w:val="000000"/>
                <w:sz w:val="22"/>
                <w:szCs w:val="22"/>
                <w:lang w:val="en-US" w:eastAsia="zh-CN" w:bidi="ar"/>
              </w:rPr>
              <w:t>13</w:t>
            </w:r>
            <w:r>
              <w:rPr>
                <w:rFonts w:hint="default" w:ascii="Times New Roman" w:hAnsi="Times New Roman" w:eastAsia="宋体" w:cs="Times New Roman"/>
                <w:bCs/>
                <w:color w:val="000000"/>
                <w:sz w:val="22"/>
                <w:szCs w:val="22"/>
                <w:lang w:bidi="ar"/>
              </w:rPr>
              <w:t>年</w:t>
            </w:r>
            <w:r>
              <w:rPr>
                <w:rFonts w:hint="default" w:ascii="Times New Roman" w:hAnsi="Times New Roman" w:eastAsia="宋体" w:cs="Times New Roman"/>
                <w:bCs/>
                <w:color w:val="000000"/>
                <w:sz w:val="22"/>
                <w:szCs w:val="22"/>
                <w:lang w:val="en-US" w:eastAsia="zh-CN" w:bidi="ar"/>
              </w:rPr>
              <w:t>6</w:t>
            </w:r>
            <w:r>
              <w:rPr>
                <w:rFonts w:hint="default" w:ascii="Times New Roman" w:hAnsi="Times New Roman" w:eastAsia="宋体" w:cs="Times New Roman"/>
                <w:bCs/>
                <w:color w:val="000000"/>
                <w:sz w:val="22"/>
                <w:szCs w:val="22"/>
                <w:lang w:bidi="ar"/>
              </w:rPr>
              <w:t>月</w:t>
            </w:r>
            <w:r>
              <w:rPr>
                <w:rFonts w:hint="default" w:ascii="Times New Roman" w:hAnsi="Times New Roman" w:eastAsia="宋体" w:cs="Times New Roman"/>
                <w:bCs/>
                <w:color w:val="000000"/>
                <w:sz w:val="22"/>
                <w:szCs w:val="22"/>
                <w:lang w:val="en-US" w:eastAsia="zh-CN" w:bidi="ar"/>
              </w:rPr>
              <w:t>21</w:t>
            </w:r>
            <w:r>
              <w:rPr>
                <w:rFonts w:hint="default" w:ascii="Times New Roman" w:hAnsi="Times New Roman" w:eastAsia="宋体" w:cs="Times New Roman"/>
                <w:bCs/>
                <w:color w:val="000000"/>
                <w:sz w:val="22"/>
                <w:szCs w:val="22"/>
                <w:lang w:bidi="ar"/>
              </w:rPr>
              <w:t>日成立于</w:t>
            </w:r>
            <w:r>
              <w:rPr>
                <w:rFonts w:hint="default" w:ascii="Times New Roman" w:hAnsi="Times New Roman" w:eastAsia="宋体" w:cs="Times New Roman"/>
                <w:bCs/>
                <w:color w:val="000000"/>
                <w:sz w:val="22"/>
                <w:szCs w:val="22"/>
                <w:lang w:eastAsia="zh-CN" w:bidi="ar"/>
              </w:rPr>
              <w:t>广东省</w:t>
            </w:r>
            <w:r>
              <w:rPr>
                <w:rFonts w:hint="default" w:ascii="Times New Roman" w:hAnsi="Times New Roman" w:eastAsia="宋体" w:cs="Times New Roman"/>
                <w:bCs/>
                <w:color w:val="000000"/>
                <w:sz w:val="22"/>
                <w:szCs w:val="22"/>
                <w:lang w:val="en-US" w:eastAsia="zh-CN" w:bidi="ar"/>
              </w:rPr>
              <w:t>珠海市，主要业务为房地产综合开发、建设和资产运营等。</w:t>
            </w:r>
          </w:p>
          <w:p>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bCs/>
                <w:color w:val="000000"/>
                <w:sz w:val="22"/>
                <w:szCs w:val="22"/>
                <w:lang w:bidi="ar"/>
              </w:rPr>
            </w:pPr>
            <w:r>
              <w:rPr>
                <w:rFonts w:hint="default" w:ascii="Times New Roman" w:hAnsi="Times New Roman" w:eastAsia="宋体" w:cs="Times New Roman"/>
                <w:bCs/>
                <w:color w:val="000000"/>
                <w:sz w:val="22"/>
                <w:szCs w:val="22"/>
                <w:lang w:val="en-US" w:eastAsia="zh-CN" w:bidi="ar"/>
              </w:rPr>
              <w:t>大横琴置业最终控制人为大横琴集团，主要业务为房地产开发经营、非居住房地产租赁、商业综合体管理服务等。</w:t>
            </w:r>
          </w:p>
          <w:p>
            <w:pPr>
              <w:pStyle w:val="7"/>
              <w:adjustRightInd w:val="0"/>
              <w:snapToGrid w:val="0"/>
              <w:spacing w:after="0"/>
              <w:rPr>
                <w:rFonts w:hint="default" w:ascii="Times New Roman" w:hAnsi="Times New Roman" w:eastAsia="宋体" w:cs="Times New Roman"/>
                <w:bCs/>
                <w:color w:val="000000"/>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restart"/>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简易案件理由（可以单选，</w:t>
            </w:r>
          </w:p>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也可以多选）</w:t>
            </w: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FE"/>
            </w:r>
            <w:r>
              <w:rPr>
                <w:rFonts w:hint="default" w:ascii="Times New Roman" w:hAnsi="Times New Roman" w:cs="Times New Roman"/>
                <w:bCs/>
                <w:color w:val="000000"/>
                <w:sz w:val="22"/>
                <w:szCs w:val="22"/>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7"/>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5" w:hRule="atLeast"/>
          <w:jc w:val="center"/>
        </w:trPr>
        <w:tc>
          <w:tcPr>
            <w:tcW w:w="1940" w:type="dxa"/>
            <w:shd w:val="clear" w:color="auto" w:fill="auto"/>
            <w:vAlign w:val="center"/>
          </w:tcPr>
          <w:p>
            <w:pPr>
              <w:pStyle w:val="7"/>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备注</w:t>
            </w:r>
          </w:p>
        </w:tc>
        <w:tc>
          <w:tcPr>
            <w:tcW w:w="7700" w:type="dxa"/>
            <w:gridSpan w:val="2"/>
            <w:vAlign w:val="center"/>
          </w:tcPr>
          <w:p>
            <w:pPr>
              <w:pStyle w:val="7"/>
              <w:adjustRightInd w:val="0"/>
              <w:snapToGrid w:val="0"/>
              <w:spacing w:after="0"/>
              <w:ind w:firstLine="0" w:firstLineChars="0"/>
              <w:rPr>
                <w:rFonts w:hint="default" w:ascii="Times New Roman" w:hAnsi="Times New Roman" w:eastAsia="宋体" w:cs="Times New Roman"/>
                <w:b/>
                <w:bCs w:val="0"/>
                <w:color w:val="000000"/>
                <w:sz w:val="22"/>
                <w:szCs w:val="22"/>
                <w:lang w:eastAsia="zh-CN" w:bidi="ar-AE"/>
              </w:rPr>
            </w:pPr>
            <w:r>
              <w:rPr>
                <w:rFonts w:hint="default" w:ascii="Times New Roman" w:hAnsi="Times New Roman" w:eastAsia="宋体" w:cs="Times New Roman"/>
                <w:b/>
                <w:bCs w:val="0"/>
                <w:color w:val="000000"/>
                <w:sz w:val="22"/>
                <w:szCs w:val="22"/>
                <w:lang w:eastAsia="zh-CN" w:bidi="ar-AE"/>
              </w:rPr>
              <w:t>混合集中：</w:t>
            </w:r>
          </w:p>
          <w:tbl>
            <w:tblPr>
              <w:tblStyle w:val="12"/>
              <w:tblW w:w="7404" w:type="dxa"/>
              <w:tblInd w:w="0" w:type="dxa"/>
              <w:tblLayout w:type="fixed"/>
              <w:tblCellMar>
                <w:top w:w="0" w:type="dxa"/>
                <w:left w:w="10" w:type="dxa"/>
                <w:bottom w:w="0" w:type="dxa"/>
                <w:right w:w="10" w:type="dxa"/>
              </w:tblCellMar>
            </w:tblPr>
            <w:tblGrid>
              <w:gridCol w:w="2850"/>
              <w:gridCol w:w="1971"/>
              <w:gridCol w:w="2583"/>
            </w:tblGrid>
            <w:tr>
              <w:tblPrEx>
                <w:tblCellMar>
                  <w:top w:w="0" w:type="dxa"/>
                  <w:left w:w="10" w:type="dxa"/>
                  <w:bottom w:w="0" w:type="dxa"/>
                  <w:right w:w="10" w:type="dxa"/>
                </w:tblCellMar>
              </w:tblPrEx>
              <w:tc>
                <w:tcPr>
                  <w:tcW w:w="28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相关商品市场</w:t>
                  </w:r>
                </w:p>
              </w:tc>
              <w:tc>
                <w:tcPr>
                  <w:tcW w:w="19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相关地域市场</w:t>
                  </w:r>
                </w:p>
              </w:tc>
              <w:tc>
                <w:tcPr>
                  <w:tcW w:w="25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2023年市场份额</w:t>
                  </w:r>
                </w:p>
              </w:tc>
            </w:tr>
            <w:tr>
              <w:tblPrEx>
                <w:tblCellMar>
                  <w:top w:w="0" w:type="dxa"/>
                  <w:left w:w="10" w:type="dxa"/>
                  <w:bottom w:w="0" w:type="dxa"/>
                  <w:right w:w="10" w:type="dxa"/>
                </w:tblCellMar>
              </w:tblPrEx>
              <w:tc>
                <w:tcPr>
                  <w:tcW w:w="28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adjustRightInd w:val="0"/>
                    <w:snapToGrid w:val="0"/>
                    <w:spacing w:after="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val="en-US" w:eastAsia="zh-CN"/>
                    </w:rPr>
                    <w:t>写字楼开发和运营市场</w:t>
                  </w:r>
                </w:p>
              </w:tc>
              <w:tc>
                <w:tcPr>
                  <w:tcW w:w="19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adjustRightInd w:val="0"/>
                    <w:snapToGrid w:val="0"/>
                    <w:spacing w:after="0"/>
                    <w:rPr>
                      <w:rFonts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珠海市</w:t>
                  </w:r>
                </w:p>
              </w:tc>
              <w:tc>
                <w:tcPr>
                  <w:tcW w:w="25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adjustRightInd w:val="0"/>
                    <w:snapToGrid w:val="0"/>
                    <w:spacing w:after="0"/>
                    <w:rPr>
                      <w:rFonts w:hint="default" w:ascii="Times New Roman" w:hAnsi="Times New Roman" w:cs="Times New Roman" w:eastAsiaTheme="minorEastAsia"/>
                      <w:bCs/>
                      <w:color w:val="000000"/>
                      <w:sz w:val="22"/>
                      <w:szCs w:val="22"/>
                      <w:lang w:val="en-US" w:eastAsia="zh-CN" w:bidi="ar-SA"/>
                    </w:rPr>
                  </w:pPr>
                  <w:r>
                    <w:rPr>
                      <w:rFonts w:hint="default" w:ascii="Times New Roman" w:hAnsi="Times New Roman" w:cs="Times New Roman" w:eastAsiaTheme="minorEastAsia"/>
                      <w:bCs/>
                      <w:color w:val="000000"/>
                      <w:sz w:val="22"/>
                      <w:szCs w:val="22"/>
                      <w:lang w:val="en-US" w:eastAsia="zh-CN" w:bidi="ar-SA"/>
                    </w:rPr>
                    <w:t>大横琴置业：0-5%</w:t>
                  </w:r>
                </w:p>
              </w:tc>
            </w:tr>
            <w:tr>
              <w:tblPrEx>
                <w:tblCellMar>
                  <w:top w:w="0" w:type="dxa"/>
                  <w:left w:w="10" w:type="dxa"/>
                  <w:bottom w:w="0" w:type="dxa"/>
                  <w:right w:w="10" w:type="dxa"/>
                </w:tblCellMar>
              </w:tblPrEx>
              <w:tc>
                <w:tcPr>
                  <w:tcW w:w="28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adjustRightInd w:val="0"/>
                    <w:snapToGrid w:val="0"/>
                    <w:spacing w:after="0"/>
                    <w:rPr>
                      <w:rFonts w:hint="default" w:ascii="Times New Roman" w:hAnsi="Times New Roman" w:cs="Times New Roman" w:eastAsiaTheme="minorEastAsia"/>
                      <w:bCs/>
                      <w:color w:val="000000"/>
                      <w:sz w:val="22"/>
                      <w:szCs w:val="22"/>
                      <w:lang w:val="en-US" w:eastAsia="zh-CN"/>
                    </w:rPr>
                  </w:pPr>
                  <w:r>
                    <w:rPr>
                      <w:rFonts w:hint="default" w:ascii="Times New Roman" w:hAnsi="Times New Roman" w:cs="Times New Roman" w:eastAsiaTheme="minorEastAsia"/>
                      <w:bCs/>
                      <w:color w:val="000000"/>
                      <w:sz w:val="22"/>
                      <w:szCs w:val="22"/>
                      <w:lang w:val="en-US" w:eastAsia="zh-CN"/>
                    </w:rPr>
                    <w:t>商业物业管理服务市场</w:t>
                  </w:r>
                </w:p>
              </w:tc>
              <w:tc>
                <w:tcPr>
                  <w:tcW w:w="19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adjustRightInd w:val="0"/>
                    <w:snapToGrid w:val="0"/>
                    <w:spacing w:after="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珠海市</w:t>
                  </w:r>
                </w:p>
              </w:tc>
              <w:tc>
                <w:tcPr>
                  <w:tcW w:w="25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7"/>
                    <w:adjustRightInd w:val="0"/>
                    <w:snapToGrid w:val="0"/>
                    <w:spacing w:after="0"/>
                    <w:rPr>
                      <w:rFonts w:hint="default" w:ascii="Times New Roman" w:hAnsi="Times New Roman" w:cs="Times New Roman" w:eastAsiaTheme="minorEastAsia"/>
                      <w:bCs/>
                      <w:color w:val="000000"/>
                      <w:sz w:val="22"/>
                      <w:szCs w:val="22"/>
                      <w:lang w:val="en-US" w:eastAsia="zh-CN" w:bidi="ar-SA"/>
                    </w:rPr>
                  </w:pPr>
                  <w:r>
                    <w:rPr>
                      <w:rFonts w:hint="default" w:ascii="Times New Roman" w:hAnsi="Times New Roman" w:cs="Times New Roman" w:eastAsiaTheme="minorEastAsia"/>
                      <w:bCs/>
                      <w:color w:val="000000"/>
                      <w:sz w:val="22"/>
                      <w:szCs w:val="22"/>
                      <w:lang w:val="en-US" w:eastAsia="zh-CN" w:bidi="ar-SA"/>
                    </w:rPr>
                    <w:t>大横琴置业：0-5%</w:t>
                  </w:r>
                </w:p>
              </w:tc>
            </w:tr>
          </w:tbl>
          <w:p>
            <w:pPr>
              <w:pStyle w:val="8"/>
              <w:ind w:firstLine="0" w:firstLineChars="0"/>
              <w:rPr>
                <w:rFonts w:hint="default" w:ascii="Times New Roman" w:hAnsi="Times New Roman" w:eastAsia="宋体" w:cs="Times New Roman"/>
                <w:b w:val="0"/>
                <w:bCs/>
                <w:color w:val="000000"/>
                <w:sz w:val="22"/>
                <w:szCs w:val="22"/>
                <w:lang w:eastAsia="zh-CN" w:bidi="ar"/>
              </w:rPr>
            </w:pPr>
          </w:p>
        </w:tc>
      </w:tr>
    </w:tbl>
    <w:p>
      <w:pPr>
        <w:rPr>
          <w:rFonts w:hint="default" w:ascii="Times New Roman" w:hAnsi="Times New Roman" w:cs="Times New Roman" w:eastAsiaTheme="minor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trackRevisions w:val="tru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6B60D7"/>
    <w:rsid w:val="0DE526A7"/>
    <w:rsid w:val="0E5C7E9D"/>
    <w:rsid w:val="0EEC791B"/>
    <w:rsid w:val="0F272A69"/>
    <w:rsid w:val="0FA436B7"/>
    <w:rsid w:val="0FBBC6D8"/>
    <w:rsid w:val="10C02711"/>
    <w:rsid w:val="12ED74AA"/>
    <w:rsid w:val="130B6D76"/>
    <w:rsid w:val="13236AF1"/>
    <w:rsid w:val="13D6674E"/>
    <w:rsid w:val="150C1E94"/>
    <w:rsid w:val="15D94F21"/>
    <w:rsid w:val="15E47716"/>
    <w:rsid w:val="16377CCC"/>
    <w:rsid w:val="1680064E"/>
    <w:rsid w:val="17436509"/>
    <w:rsid w:val="1AA11230"/>
    <w:rsid w:val="1B2D6269"/>
    <w:rsid w:val="1BF9394B"/>
    <w:rsid w:val="1BF9AB71"/>
    <w:rsid w:val="1C361957"/>
    <w:rsid w:val="1DA24124"/>
    <w:rsid w:val="1DFE30C6"/>
    <w:rsid w:val="1E77204D"/>
    <w:rsid w:val="1FC81833"/>
    <w:rsid w:val="20C2797E"/>
    <w:rsid w:val="215B059A"/>
    <w:rsid w:val="23B4C27E"/>
    <w:rsid w:val="24606B41"/>
    <w:rsid w:val="246736EB"/>
    <w:rsid w:val="24840815"/>
    <w:rsid w:val="25C17900"/>
    <w:rsid w:val="261144B9"/>
    <w:rsid w:val="27B435B3"/>
    <w:rsid w:val="27ED6C10"/>
    <w:rsid w:val="281C288D"/>
    <w:rsid w:val="289A6D28"/>
    <w:rsid w:val="2B795B9C"/>
    <w:rsid w:val="2C0C7CCC"/>
    <w:rsid w:val="2CAC25FF"/>
    <w:rsid w:val="2DFF8C0F"/>
    <w:rsid w:val="2ECF569F"/>
    <w:rsid w:val="2F0902B7"/>
    <w:rsid w:val="2FFFA4C7"/>
    <w:rsid w:val="3025112D"/>
    <w:rsid w:val="319E78FD"/>
    <w:rsid w:val="339B1A7D"/>
    <w:rsid w:val="34527864"/>
    <w:rsid w:val="356065C1"/>
    <w:rsid w:val="35741F7B"/>
    <w:rsid w:val="35927D49"/>
    <w:rsid w:val="35FF6E6A"/>
    <w:rsid w:val="36647739"/>
    <w:rsid w:val="36722108"/>
    <w:rsid w:val="36FE46C7"/>
    <w:rsid w:val="37736187"/>
    <w:rsid w:val="37EC4B4C"/>
    <w:rsid w:val="37F46AA9"/>
    <w:rsid w:val="3A7D25F4"/>
    <w:rsid w:val="3B6C128B"/>
    <w:rsid w:val="3BF42FA2"/>
    <w:rsid w:val="3C1B3849"/>
    <w:rsid w:val="3DBE0E38"/>
    <w:rsid w:val="3DCF2C73"/>
    <w:rsid w:val="3E3B322A"/>
    <w:rsid w:val="3EB7365E"/>
    <w:rsid w:val="3EBE2D3F"/>
    <w:rsid w:val="3ED7D01C"/>
    <w:rsid w:val="3EE73D98"/>
    <w:rsid w:val="3FFB6C24"/>
    <w:rsid w:val="3FFEAEB3"/>
    <w:rsid w:val="3FFFF7A9"/>
    <w:rsid w:val="40D7777E"/>
    <w:rsid w:val="41D779C0"/>
    <w:rsid w:val="436E421B"/>
    <w:rsid w:val="43E353FE"/>
    <w:rsid w:val="45E92E66"/>
    <w:rsid w:val="46845245"/>
    <w:rsid w:val="46F216C3"/>
    <w:rsid w:val="48567BBA"/>
    <w:rsid w:val="48604985"/>
    <w:rsid w:val="48C332AF"/>
    <w:rsid w:val="49857111"/>
    <w:rsid w:val="498A72A0"/>
    <w:rsid w:val="4C824703"/>
    <w:rsid w:val="4CC01CF8"/>
    <w:rsid w:val="4CFD75DE"/>
    <w:rsid w:val="4D533669"/>
    <w:rsid w:val="4D611881"/>
    <w:rsid w:val="4DB67BAD"/>
    <w:rsid w:val="4DBF710D"/>
    <w:rsid w:val="4E585190"/>
    <w:rsid w:val="4E626EA5"/>
    <w:rsid w:val="4F7D0643"/>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A320350"/>
    <w:rsid w:val="5A4E1134"/>
    <w:rsid w:val="5A8F5421"/>
    <w:rsid w:val="5AB377AC"/>
    <w:rsid w:val="5ADB7A9F"/>
    <w:rsid w:val="5BDF7AA8"/>
    <w:rsid w:val="5CC770F3"/>
    <w:rsid w:val="5DFF5221"/>
    <w:rsid w:val="5E606197"/>
    <w:rsid w:val="5E758AD3"/>
    <w:rsid w:val="5EFFEB53"/>
    <w:rsid w:val="5F5B3889"/>
    <w:rsid w:val="5F7404E1"/>
    <w:rsid w:val="60B85CFA"/>
    <w:rsid w:val="61AC7C2D"/>
    <w:rsid w:val="61F32521"/>
    <w:rsid w:val="61F8798C"/>
    <w:rsid w:val="63F6661D"/>
    <w:rsid w:val="64F94FB6"/>
    <w:rsid w:val="64FF0119"/>
    <w:rsid w:val="650C61D5"/>
    <w:rsid w:val="65183212"/>
    <w:rsid w:val="65AC0421"/>
    <w:rsid w:val="66FCF352"/>
    <w:rsid w:val="67090219"/>
    <w:rsid w:val="670F0EC1"/>
    <w:rsid w:val="6754015D"/>
    <w:rsid w:val="67885F66"/>
    <w:rsid w:val="67D469E8"/>
    <w:rsid w:val="685D233B"/>
    <w:rsid w:val="69C0748D"/>
    <w:rsid w:val="69D3998A"/>
    <w:rsid w:val="6A7D30C3"/>
    <w:rsid w:val="6B9261CD"/>
    <w:rsid w:val="6B9A71CB"/>
    <w:rsid w:val="6BCB1BF4"/>
    <w:rsid w:val="6BCC0CB3"/>
    <w:rsid w:val="6C45316D"/>
    <w:rsid w:val="6CBF87B4"/>
    <w:rsid w:val="6D5FC0F7"/>
    <w:rsid w:val="6DEFBAE0"/>
    <w:rsid w:val="6E372E5F"/>
    <w:rsid w:val="6E3FE820"/>
    <w:rsid w:val="6E786ABC"/>
    <w:rsid w:val="6F538C10"/>
    <w:rsid w:val="6FDF5799"/>
    <w:rsid w:val="710A7485"/>
    <w:rsid w:val="71394751"/>
    <w:rsid w:val="72131803"/>
    <w:rsid w:val="723024E6"/>
    <w:rsid w:val="73026B48"/>
    <w:rsid w:val="73FEEB6C"/>
    <w:rsid w:val="74566BED"/>
    <w:rsid w:val="74CE550B"/>
    <w:rsid w:val="74FA9F2D"/>
    <w:rsid w:val="755F49C7"/>
    <w:rsid w:val="75FF4437"/>
    <w:rsid w:val="767FE0B3"/>
    <w:rsid w:val="76AFBFF1"/>
    <w:rsid w:val="76CA40F3"/>
    <w:rsid w:val="77527FDF"/>
    <w:rsid w:val="775B69D1"/>
    <w:rsid w:val="77997569"/>
    <w:rsid w:val="77AFF4F6"/>
    <w:rsid w:val="77DFE97C"/>
    <w:rsid w:val="77FF6A8C"/>
    <w:rsid w:val="77FFCFC3"/>
    <w:rsid w:val="78410251"/>
    <w:rsid w:val="793FB7A1"/>
    <w:rsid w:val="7A66B182"/>
    <w:rsid w:val="7A9C06E1"/>
    <w:rsid w:val="7AB91678"/>
    <w:rsid w:val="7B7BE66B"/>
    <w:rsid w:val="7B8F578C"/>
    <w:rsid w:val="7B9A66EF"/>
    <w:rsid w:val="7BB93BEB"/>
    <w:rsid w:val="7BE411F0"/>
    <w:rsid w:val="7BFFD823"/>
    <w:rsid w:val="7C7918BC"/>
    <w:rsid w:val="7EE72273"/>
    <w:rsid w:val="7EF7CDD2"/>
    <w:rsid w:val="7F4F7889"/>
    <w:rsid w:val="7F5A4555"/>
    <w:rsid w:val="7F7BEB9D"/>
    <w:rsid w:val="7FBF2495"/>
    <w:rsid w:val="7FCFF755"/>
    <w:rsid w:val="7FDCAB43"/>
    <w:rsid w:val="7FE15510"/>
    <w:rsid w:val="7FE91E78"/>
    <w:rsid w:val="7FFDE69B"/>
    <w:rsid w:val="97A7370C"/>
    <w:rsid w:val="9CBD0B1A"/>
    <w:rsid w:val="A7F9C1DE"/>
    <w:rsid w:val="A9AD231D"/>
    <w:rsid w:val="ADFAC79E"/>
    <w:rsid w:val="AE7E1E17"/>
    <w:rsid w:val="AFA6DE92"/>
    <w:rsid w:val="B4FDF1E3"/>
    <w:rsid w:val="B593FB7D"/>
    <w:rsid w:val="B77D8EA8"/>
    <w:rsid w:val="B7AE5DA7"/>
    <w:rsid w:val="B9B92832"/>
    <w:rsid w:val="BCB7048F"/>
    <w:rsid w:val="BCF89F06"/>
    <w:rsid w:val="BEAF73DD"/>
    <w:rsid w:val="BF8E36EE"/>
    <w:rsid w:val="BF9347F3"/>
    <w:rsid w:val="BFDFB85E"/>
    <w:rsid w:val="BFF739EC"/>
    <w:rsid w:val="C3F5BA26"/>
    <w:rsid w:val="D5DB8D8A"/>
    <w:rsid w:val="D76F54F7"/>
    <w:rsid w:val="DDEFBA43"/>
    <w:rsid w:val="DE77CE63"/>
    <w:rsid w:val="DEAFB90F"/>
    <w:rsid w:val="DF21B821"/>
    <w:rsid w:val="DFD76A11"/>
    <w:rsid w:val="E7FFE685"/>
    <w:rsid w:val="E9DEC553"/>
    <w:rsid w:val="E9F71F09"/>
    <w:rsid w:val="EAFD8D58"/>
    <w:rsid w:val="EB6C770B"/>
    <w:rsid w:val="EBCD181E"/>
    <w:rsid w:val="EFFFDD70"/>
    <w:rsid w:val="F17F7A23"/>
    <w:rsid w:val="F1B778F1"/>
    <w:rsid w:val="F32D9669"/>
    <w:rsid w:val="F3BA9458"/>
    <w:rsid w:val="F3FF743F"/>
    <w:rsid w:val="F4FF55F7"/>
    <w:rsid w:val="F7EFF966"/>
    <w:rsid w:val="F7FD911C"/>
    <w:rsid w:val="F9DF2CA6"/>
    <w:rsid w:val="FB3326CC"/>
    <w:rsid w:val="FBCE4D19"/>
    <w:rsid w:val="FBFE1D07"/>
    <w:rsid w:val="FC7F23FF"/>
    <w:rsid w:val="FDBF10AA"/>
    <w:rsid w:val="FE5FA0A2"/>
    <w:rsid w:val="FEAEC70B"/>
    <w:rsid w:val="FEFFE8E9"/>
    <w:rsid w:val="FF57FBD6"/>
    <w:rsid w:val="FF5F68C3"/>
    <w:rsid w:val="FF79F9CF"/>
    <w:rsid w:val="FFB70466"/>
    <w:rsid w:val="FFBC3961"/>
    <w:rsid w:val="FFBE6E5C"/>
    <w:rsid w:val="FFCF003E"/>
    <w:rsid w:val="FFD95A98"/>
    <w:rsid w:val="FFEE6CF6"/>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customStyle="1" w:styleId="4">
    <w:name w:val="名称2"/>
    <w:basedOn w:val="5"/>
    <w:qFormat/>
    <w:uiPriority w:val="0"/>
    <w:pPr>
      <w:spacing w:after="312" w:afterLines="100"/>
    </w:pPr>
    <w:rPr>
      <w:b w:val="0"/>
      <w:sz w:val="20"/>
    </w:rPr>
  </w:style>
  <w:style w:type="paragraph" w:customStyle="1" w:styleId="5">
    <w:name w:val="名称"/>
    <w:basedOn w:val="1"/>
    <w:qFormat/>
    <w:uiPriority w:val="0"/>
    <w:pPr>
      <w:jc w:val="center"/>
    </w:pPr>
    <w:rPr>
      <w:b/>
      <w:kern w:val="0"/>
      <w:sz w:val="44"/>
      <w:szCs w:val="20"/>
    </w:rPr>
  </w:style>
  <w:style w:type="paragraph" w:styleId="6">
    <w:name w:val="annotation text"/>
    <w:basedOn w:val="1"/>
    <w:qFormat/>
    <w:uiPriority w:val="0"/>
    <w:pPr>
      <w:jc w:val="left"/>
    </w:pPr>
  </w:style>
  <w:style w:type="paragraph" w:styleId="7">
    <w:name w:val="Body Text"/>
    <w:basedOn w:val="1"/>
    <w:next w:val="8"/>
    <w:link w:val="18"/>
    <w:unhideWhenUsed/>
    <w:qFormat/>
    <w:uiPriority w:val="99"/>
    <w:pPr>
      <w:spacing w:after="120"/>
    </w:pPr>
  </w:style>
  <w:style w:type="paragraph" w:styleId="8">
    <w:name w:val="Body Text First Indent"/>
    <w:basedOn w:val="7"/>
    <w:qFormat/>
    <w:uiPriority w:val="0"/>
    <w:pPr>
      <w:ind w:firstLine="420" w:firstLineChars="100"/>
    </w:pPr>
  </w:style>
  <w:style w:type="paragraph" w:styleId="9">
    <w:name w:val="footer"/>
    <w:basedOn w:val="1"/>
    <w:link w:val="17"/>
    <w:qFormat/>
    <w:uiPriority w:val="0"/>
    <w:pPr>
      <w:tabs>
        <w:tab w:val="center" w:pos="4153"/>
        <w:tab w:val="right" w:pos="8306"/>
      </w:tabs>
      <w:snapToGrid w:val="0"/>
      <w:jc w:val="left"/>
    </w:pPr>
    <w:rPr>
      <w:sz w:val="18"/>
      <w:szCs w:val="18"/>
    </w:rPr>
  </w:style>
  <w:style w:type="paragraph" w:styleId="10">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1">
    <w:name w:val="toc 2"/>
    <w:basedOn w:val="1"/>
    <w:next w:val="1"/>
    <w:qFormat/>
    <w:uiPriority w:val="0"/>
    <w:pPr>
      <w:ind w:left="420" w:leftChars="200"/>
    </w:pPr>
    <w:rPr>
      <w:rFonts w:ascii="Times New Roman" w:hAnsi="Times New Roman" w:eastAsia="宋体"/>
      <w:sz w:val="30"/>
    </w:r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customStyle="1" w:styleId="16">
    <w:name w:val="页眉 字符"/>
    <w:basedOn w:val="14"/>
    <w:link w:val="10"/>
    <w:qFormat/>
    <w:uiPriority w:val="0"/>
    <w:rPr>
      <w:rFonts w:ascii="Times New Roman" w:hAnsi="Times New Roman" w:eastAsia="宋体" w:cs="Times New Roman"/>
      <w:kern w:val="2"/>
      <w:sz w:val="18"/>
      <w:szCs w:val="18"/>
    </w:rPr>
  </w:style>
  <w:style w:type="character" w:customStyle="1" w:styleId="17">
    <w:name w:val="页脚 字符"/>
    <w:basedOn w:val="14"/>
    <w:link w:val="9"/>
    <w:qFormat/>
    <w:uiPriority w:val="0"/>
    <w:rPr>
      <w:rFonts w:ascii="Times New Roman" w:hAnsi="Times New Roman" w:eastAsia="宋体" w:cs="Times New Roman"/>
      <w:kern w:val="2"/>
      <w:sz w:val="18"/>
      <w:szCs w:val="18"/>
    </w:rPr>
  </w:style>
  <w:style w:type="character" w:customStyle="1" w:styleId="18">
    <w:name w:val="正文文本 字符"/>
    <w:basedOn w:val="14"/>
    <w:link w:val="7"/>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9"/>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1707</Words>
  <Characters>1813</Characters>
  <Lines>1</Lines>
  <Paragraphs>1</Paragraphs>
  <TotalTime>12</TotalTime>
  <ScaleCrop>false</ScaleCrop>
  <LinksUpToDate>false</LinksUpToDate>
  <CharactersWithSpaces>1998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2023-03-07T01:34:00Z</dcterms:created>
  <dc:creator>张斌（反垄断处）</dc:creator>
  <cp:lastModifiedBy>scj</cp:lastModifiedBy>
  <cp:lastPrinted>2024-08-09T09:27:00Z</cp:lastPrinted>
  <dcterms:modified xsi:type="dcterms:W3CDTF">2024-09-30T14:54:04Z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2F510BCF826C43248232D30198221AB7</vt:lpwstr>
  </property>
</Properties>
</file>