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after="240"/>
        <w:jc w:val="center"/>
        <w:rPr>
          <w:rFonts w:hint="default" w:ascii="Times New Roman" w:hAnsi="Times New Roman" w:eastAsia="方正小标宋简体" w:cs="Times New Roman"/>
          <w:bCs/>
          <w:kern w:val="0"/>
          <w:sz w:val="44"/>
          <w:szCs w:val="44"/>
          <w:lang w:val="en-GB" w:bidi="ar-AE"/>
        </w:rPr>
      </w:pPr>
      <w:bookmarkStart w:id="0" w:name="_GoBack"/>
      <w:bookmarkEnd w:id="0"/>
      <w:r>
        <w:rPr>
          <w:rFonts w:hint="default" w:ascii="Times New Roman" w:hAnsi="Times New Roman" w:eastAsia="黑体" w:cs="Times New Roman"/>
          <w:bCs/>
          <w:sz w:val="44"/>
          <w:szCs w:val="44"/>
          <w:lang w:val="en-US" w:eastAsia="zh-CN"/>
        </w:rPr>
        <w:t xml:space="preserve"> </w:t>
      </w:r>
      <w:r>
        <w:rPr>
          <w:rFonts w:hint="default" w:ascii="Times New Roman" w:hAnsi="Times New Roman" w:eastAsia="方正小标宋简体" w:cs="Times New Roman"/>
          <w:bCs/>
          <w:kern w:val="0"/>
          <w:sz w:val="44"/>
          <w:szCs w:val="44"/>
          <w:lang w:val="en-GB" w:bidi="ar-AE"/>
        </w:rPr>
        <w:t>经营者集中简易案件公示表</w:t>
      </w:r>
    </w:p>
    <w:tbl>
      <w:tblPr>
        <w:tblStyle w:val="12"/>
        <w:tblW w:w="9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  <w:jc w:val="center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案件名称</w:t>
            </w:r>
          </w:p>
        </w:tc>
        <w:tc>
          <w:tcPr>
            <w:tcW w:w="7700" w:type="dxa"/>
            <w:gridSpan w:val="2"/>
            <w:shd w:val="clear" w:color="auto" w:fill="auto"/>
            <w:vAlign w:val="center"/>
          </w:tcPr>
          <w:p>
            <w:pPr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</w:rPr>
              <w:t>索通发展股份有限公司收购田东百矿三田碳素有限公司股权案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5" w:hRule="atLeast"/>
          <w:jc w:val="center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交易概况</w:t>
            </w:r>
          </w:p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hint="eastAsia" w:ascii="Times New Roman" w:hAnsi="Times New Roman" w:eastAsia="宋体"/>
                <w:bCs/>
                <w:color w:val="000000"/>
                <w:sz w:val="22"/>
                <w:szCs w:val="22"/>
              </w:rPr>
              <w:t>索通发展股份有限公司（“索通</w:t>
            </w:r>
            <w:r>
              <w:rPr>
                <w:rFonts w:hint="eastAsia" w:eastAsia="宋体"/>
                <w:bCs/>
                <w:color w:val="000000"/>
                <w:sz w:val="22"/>
                <w:szCs w:val="22"/>
                <w:lang w:eastAsia="zh-CN"/>
              </w:rPr>
              <w:t>发展</w:t>
            </w:r>
            <w:r>
              <w:rPr>
                <w:rFonts w:hint="eastAsia" w:ascii="Times New Roman" w:hAnsi="Times New Roman" w:eastAsia="宋体"/>
                <w:bCs/>
                <w:color w:val="000000"/>
                <w:sz w:val="22"/>
                <w:szCs w:val="22"/>
              </w:rPr>
              <w:t>”）和吉利百矿集团有限公司（“吉利百矿”）签署协议，</w:t>
            </w:r>
            <w:r>
              <w:rPr>
                <w:rFonts w:hint="eastAsia" w:eastAsia="宋体"/>
                <w:bCs/>
                <w:color w:val="000000"/>
                <w:sz w:val="22"/>
                <w:szCs w:val="22"/>
                <w:lang w:eastAsia="zh-CN"/>
              </w:rPr>
              <w:t>索通发展拟通过增资取得</w:t>
            </w:r>
            <w:r>
              <w:rPr>
                <w:rFonts w:hint="eastAsia" w:ascii="Times New Roman" w:hAnsi="Times New Roman" w:eastAsia="宋体"/>
                <w:bCs/>
                <w:color w:val="000000"/>
                <w:sz w:val="22"/>
                <w:szCs w:val="22"/>
              </w:rPr>
              <w:t>田东百矿三田碳素有限公司（“</w:t>
            </w:r>
            <w:r>
              <w:rPr>
                <w:rFonts w:hint="eastAsia" w:eastAsia="宋体"/>
                <w:bCs/>
                <w:color w:val="000000"/>
                <w:sz w:val="22"/>
                <w:szCs w:val="22"/>
                <w:lang w:eastAsia="zh-CN"/>
              </w:rPr>
              <w:t>田东百矿</w:t>
            </w:r>
            <w:r>
              <w:rPr>
                <w:rFonts w:hint="eastAsia" w:ascii="Times New Roman" w:hAnsi="Times New Roman" w:eastAsia="宋体"/>
                <w:bCs/>
                <w:color w:val="000000"/>
                <w:sz w:val="22"/>
                <w:szCs w:val="22"/>
              </w:rPr>
              <w:t>”）</w:t>
            </w:r>
            <w:r>
              <w:rPr>
                <w:rFonts w:hint="eastAsia" w:eastAsia="宋体"/>
                <w:bCs/>
                <w:color w:val="000000"/>
                <w:sz w:val="22"/>
                <w:szCs w:val="22"/>
                <w:lang w:val="en-US" w:eastAsia="zh-CN"/>
              </w:rPr>
              <w:t>66%的股权。田东百矿</w:t>
            </w:r>
            <w:r>
              <w:rPr>
                <w:rFonts w:hint="eastAsia" w:ascii="Times New Roman" w:hAnsi="Times New Roman" w:eastAsia="宋体"/>
                <w:bCs/>
                <w:color w:val="000000"/>
                <w:sz w:val="22"/>
                <w:szCs w:val="22"/>
              </w:rPr>
              <w:t>主要从事预焙阳极生产和销售业务。交易前，吉利百矿持有</w:t>
            </w:r>
            <w:r>
              <w:rPr>
                <w:rFonts w:hint="eastAsia" w:eastAsia="宋体"/>
                <w:bCs/>
                <w:color w:val="000000"/>
                <w:sz w:val="22"/>
                <w:szCs w:val="22"/>
                <w:lang w:val="en-US" w:eastAsia="zh-CN"/>
              </w:rPr>
              <w:t>田东百矿</w:t>
            </w:r>
            <w:r>
              <w:rPr>
                <w:rFonts w:hint="eastAsia" w:ascii="Times New Roman" w:hAnsi="Times New Roman" w:eastAsia="宋体"/>
                <w:bCs/>
                <w:color w:val="000000"/>
                <w:sz w:val="22"/>
                <w:szCs w:val="22"/>
              </w:rPr>
              <w:t>100%的</w:t>
            </w:r>
            <w:r>
              <w:rPr>
                <w:rFonts w:hint="eastAsia" w:eastAsia="宋体"/>
                <w:bCs/>
                <w:color w:val="000000"/>
                <w:sz w:val="22"/>
                <w:szCs w:val="22"/>
                <w:lang w:eastAsia="zh-CN"/>
              </w:rPr>
              <w:t>股权</w:t>
            </w:r>
            <w:r>
              <w:rPr>
                <w:rFonts w:hint="eastAsia" w:ascii="Times New Roman" w:hAnsi="Times New Roman" w:eastAsia="宋体"/>
                <w:bCs/>
                <w:color w:val="000000"/>
                <w:sz w:val="22"/>
                <w:szCs w:val="22"/>
              </w:rPr>
              <w:t>，单独控制</w:t>
            </w:r>
            <w:r>
              <w:rPr>
                <w:rFonts w:hint="eastAsia" w:eastAsia="宋体"/>
                <w:bCs/>
                <w:color w:val="000000"/>
                <w:sz w:val="22"/>
                <w:szCs w:val="22"/>
                <w:lang w:val="en-US" w:eastAsia="zh-CN"/>
              </w:rPr>
              <w:t>田东百矿</w:t>
            </w:r>
            <w:r>
              <w:rPr>
                <w:rFonts w:hint="eastAsia" w:ascii="Times New Roman" w:hAnsi="Times New Roman" w:eastAsia="宋体"/>
                <w:bCs/>
                <w:color w:val="000000"/>
                <w:sz w:val="22"/>
                <w:szCs w:val="22"/>
              </w:rPr>
              <w:t>。交易后，索通</w:t>
            </w:r>
            <w:r>
              <w:rPr>
                <w:rFonts w:hint="eastAsia" w:eastAsia="宋体"/>
                <w:bCs/>
                <w:color w:val="000000"/>
                <w:sz w:val="22"/>
                <w:szCs w:val="22"/>
                <w:lang w:eastAsia="zh-CN"/>
              </w:rPr>
              <w:t>发展</w:t>
            </w:r>
            <w:r>
              <w:rPr>
                <w:rFonts w:hint="eastAsia" w:ascii="Times New Roman" w:hAnsi="Times New Roman" w:eastAsia="宋体"/>
                <w:bCs/>
                <w:color w:val="000000"/>
                <w:sz w:val="22"/>
                <w:szCs w:val="22"/>
              </w:rPr>
              <w:t>和吉利百矿将分别持有</w:t>
            </w:r>
            <w:r>
              <w:rPr>
                <w:rFonts w:hint="eastAsia" w:eastAsia="宋体"/>
                <w:bCs/>
                <w:color w:val="000000"/>
                <w:sz w:val="22"/>
                <w:szCs w:val="22"/>
                <w:lang w:val="en-US" w:eastAsia="zh-CN"/>
              </w:rPr>
              <w:t>田东百矿</w:t>
            </w:r>
            <w:r>
              <w:rPr>
                <w:rFonts w:hint="eastAsia" w:ascii="Times New Roman" w:hAnsi="Times New Roman" w:eastAsia="宋体"/>
                <w:bCs/>
                <w:color w:val="000000"/>
                <w:sz w:val="22"/>
                <w:szCs w:val="22"/>
              </w:rPr>
              <w:t>66%和34%的</w:t>
            </w:r>
            <w:r>
              <w:rPr>
                <w:rFonts w:hint="eastAsia" w:eastAsia="宋体"/>
                <w:bCs/>
                <w:color w:val="000000"/>
                <w:sz w:val="22"/>
                <w:szCs w:val="22"/>
                <w:lang w:eastAsia="zh-CN"/>
              </w:rPr>
              <w:t>股权</w:t>
            </w:r>
            <w:r>
              <w:rPr>
                <w:rFonts w:hint="eastAsia" w:ascii="Times New Roman" w:hAnsi="Times New Roman" w:eastAsia="宋体"/>
                <w:bCs/>
                <w:color w:val="000000"/>
                <w:sz w:val="22"/>
                <w:szCs w:val="22"/>
              </w:rPr>
              <w:t>，</w:t>
            </w:r>
            <w:r>
              <w:rPr>
                <w:rFonts w:hint="eastAsia" w:eastAsia="宋体"/>
                <w:bCs/>
                <w:color w:val="000000"/>
                <w:sz w:val="22"/>
                <w:szCs w:val="22"/>
                <w:lang w:eastAsia="zh-CN"/>
              </w:rPr>
              <w:t>二者</w:t>
            </w:r>
            <w:r>
              <w:rPr>
                <w:rFonts w:hint="eastAsia" w:ascii="Times New Roman" w:hAnsi="Times New Roman" w:eastAsia="宋体"/>
                <w:bCs/>
                <w:color w:val="000000"/>
                <w:sz w:val="22"/>
                <w:szCs w:val="22"/>
              </w:rPr>
              <w:t>共同控制</w:t>
            </w:r>
            <w:r>
              <w:rPr>
                <w:rFonts w:hint="eastAsia" w:eastAsia="宋体"/>
                <w:bCs/>
                <w:color w:val="000000"/>
                <w:sz w:val="22"/>
                <w:szCs w:val="22"/>
                <w:lang w:val="en-US" w:eastAsia="zh-CN"/>
              </w:rPr>
              <w:t>田东百矿</w:t>
            </w:r>
            <w:r>
              <w:rPr>
                <w:rFonts w:hint="eastAsia" w:ascii="Times New Roman" w:hAnsi="Times New Roman" w:eastAsia="宋体"/>
                <w:bCs/>
                <w:color w:val="000000"/>
                <w:sz w:val="22"/>
                <w:szCs w:val="22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3" w:hRule="atLeast"/>
          <w:jc w:val="center"/>
        </w:trPr>
        <w:tc>
          <w:tcPr>
            <w:tcW w:w="1940" w:type="dxa"/>
            <w:vMerge w:val="restart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参与集中的</w:t>
            </w:r>
          </w:p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经营者简介</w:t>
            </w:r>
          </w:p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（每个限100</w:t>
            </w:r>
          </w:p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字以内）</w:t>
            </w:r>
          </w:p>
        </w:tc>
        <w:tc>
          <w:tcPr>
            <w:tcW w:w="1607" w:type="dxa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>1.</w:t>
            </w:r>
            <w:r>
              <w:rPr>
                <w:rFonts w:hint="eastAsia" w:cs="Times New Roman"/>
                <w:bCs/>
                <w:color w:val="000000"/>
                <w:sz w:val="22"/>
                <w:szCs w:val="22"/>
                <w:lang w:eastAsia="zh-CN"/>
              </w:rPr>
              <w:t>索通发展</w:t>
            </w:r>
          </w:p>
        </w:tc>
        <w:tc>
          <w:tcPr>
            <w:tcW w:w="6093" w:type="dxa"/>
            <w:vAlign w:val="center"/>
          </w:tcPr>
          <w:p>
            <w:pPr>
              <w:adjustRightInd w:val="0"/>
              <w:snapToGrid w:val="0"/>
              <w:rPr>
                <w:rFonts w:hint="eastAsia"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索通</w:t>
            </w: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发展</w:t>
            </w:r>
            <w:r>
              <w:rPr>
                <w:rFonts w:hint="eastAsia" w:ascii="宋体" w:hAnsi="宋体" w:cs="宋体"/>
                <w:sz w:val="22"/>
                <w:szCs w:val="22"/>
              </w:rPr>
              <w:t>于2003年8月27日成立于山东省，为上海证券交易所上市公司，主要</w:t>
            </w: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从事</w:t>
            </w:r>
            <w:r>
              <w:rPr>
                <w:rFonts w:hint="eastAsia" w:ascii="宋体" w:hAnsi="宋体" w:cs="宋体"/>
                <w:sz w:val="22"/>
                <w:szCs w:val="22"/>
              </w:rPr>
              <w:t>预焙阳极、锂电池负极材料、薄膜电容器的研发、生产及销售</w:t>
            </w: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等业务</w:t>
            </w:r>
            <w:r>
              <w:rPr>
                <w:rFonts w:hint="eastAsia" w:ascii="宋体" w:hAnsi="宋体" w:cs="宋体"/>
                <w:sz w:val="22"/>
                <w:szCs w:val="22"/>
              </w:rPr>
              <w:t>。</w:t>
            </w:r>
          </w:p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索通</w:t>
            </w: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发展</w:t>
            </w:r>
            <w:r>
              <w:rPr>
                <w:rFonts w:hint="eastAsia" w:ascii="宋体" w:hAnsi="宋体" w:cs="宋体"/>
                <w:sz w:val="22"/>
                <w:szCs w:val="22"/>
              </w:rPr>
              <w:t>的最终控制人为自然人郎光辉，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主要通过索通发展及其关联实体开展业务</w:t>
            </w:r>
            <w:r>
              <w:rPr>
                <w:rFonts w:hint="eastAsia" w:ascii="Times New Roman" w:hAnsi="Times New Roman" w:cs="Times New Roman"/>
                <w:sz w:val="22"/>
                <w:szCs w:val="22"/>
                <w:lang w:eastAsia="zh-CN"/>
              </w:rPr>
              <w:t>如上所述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2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1607" w:type="dxa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eastAsia" w:ascii="Times New Roman" w:hAnsi="Times New Roman" w:eastAsia="宋体" w:cs="Times New Roman"/>
                <w:bCs/>
                <w:color w:val="000000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>2.</w:t>
            </w:r>
            <w:r>
              <w:rPr>
                <w:rFonts w:hint="eastAsia" w:cs="Times New Roman"/>
                <w:bCs/>
                <w:color w:val="000000"/>
                <w:sz w:val="22"/>
                <w:szCs w:val="22"/>
                <w:lang w:eastAsia="zh-CN"/>
              </w:rPr>
              <w:t>吉利百矿</w:t>
            </w:r>
          </w:p>
        </w:tc>
        <w:tc>
          <w:tcPr>
            <w:tcW w:w="6093" w:type="dxa"/>
            <w:vAlign w:val="center"/>
          </w:tcPr>
          <w:p>
            <w:pPr>
              <w:adjustRightInd w:val="0"/>
              <w:snapToGrid w:val="0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吉利百矿于1996年4月22日成立于广西壮族自治区，主要</w:t>
            </w: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  <w:lang w:eastAsia="zh-CN"/>
              </w:rPr>
              <w:t>从事</w:t>
            </w: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铝冶炼、能源、铝加工、锰等行业产品的生产销售</w:t>
            </w: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  <w:lang w:eastAsia="zh-CN"/>
              </w:rPr>
              <w:t>等业务</w:t>
            </w: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。</w:t>
            </w:r>
          </w:p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吉利百矿的最终控制人为自然人李书福，</w:t>
            </w:r>
            <w:r>
              <w:rPr>
                <w:rFonts w:hint="default" w:ascii="Times New Roman" w:hAnsi="Times New Roman" w:cs="Times New Roman" w:eastAsiaTheme="minorEastAsia"/>
                <w:sz w:val="22"/>
                <w:szCs w:val="22"/>
              </w:rPr>
              <w:t>要通过吉利百矿及其关联实体开展业务</w:t>
            </w:r>
            <w:r>
              <w:rPr>
                <w:rFonts w:hint="eastAsia" w:ascii="Times New Roman" w:hAnsi="Times New Roman" w:cs="Times New Roman" w:eastAsiaTheme="minorEastAsia"/>
                <w:sz w:val="22"/>
                <w:szCs w:val="22"/>
                <w:lang w:eastAsia="zh-CN"/>
              </w:rPr>
              <w:t>如上所述</w:t>
            </w:r>
            <w:r>
              <w:rPr>
                <w:rFonts w:hint="default" w:ascii="Times New Roman" w:hAnsi="Times New Roman" w:cs="Times New Roman" w:eastAsiaTheme="minorEastAsia"/>
                <w:sz w:val="22"/>
                <w:szCs w:val="22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restart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简易案件理由（可以单选，</w:t>
            </w:r>
          </w:p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FE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FE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9" w:hRule="atLeast"/>
          <w:jc w:val="center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/>
                <w:b/>
                <w:color w:val="000000"/>
                <w:sz w:val="22"/>
                <w:szCs w:val="22"/>
                <w:lang w:eastAsia="zh-CN" w:bidi="ar-AE"/>
              </w:rPr>
            </w:pPr>
            <w:r>
              <w:rPr>
                <w:rFonts w:hint="default"/>
                <w:b/>
                <w:color w:val="000000"/>
                <w:sz w:val="22"/>
                <w:szCs w:val="22"/>
                <w:lang w:eastAsia="zh-CN" w:bidi="ar-AE"/>
              </w:rPr>
              <w:t>横向重叠：</w:t>
            </w:r>
          </w:p>
          <w:tbl>
            <w:tblPr>
              <w:tblStyle w:val="12"/>
              <w:tblW w:w="7404" w:type="dxa"/>
              <w:tblInd w:w="0" w:type="dxa"/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2850"/>
              <w:gridCol w:w="1971"/>
              <w:gridCol w:w="2583"/>
            </w:tblGrid>
            <w:tr>
              <w:tblPrEx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85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7"/>
                    <w:adjustRightInd w:val="0"/>
                    <w:snapToGrid w:val="0"/>
                    <w:spacing w:after="0" w:line="240" w:lineRule="auto"/>
                    <w:rPr>
                      <w:rFonts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</w:pPr>
                  <w:r>
                    <w:rPr>
                      <w:rFonts w:hint="default"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相关商品市场</w:t>
                  </w:r>
                </w:p>
              </w:tc>
              <w:tc>
                <w:tcPr>
                  <w:tcW w:w="197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7"/>
                    <w:adjustRightInd w:val="0"/>
                    <w:snapToGrid w:val="0"/>
                    <w:spacing w:after="0" w:line="240" w:lineRule="auto"/>
                    <w:rPr>
                      <w:rFonts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</w:pPr>
                  <w:r>
                    <w:rPr>
                      <w:rFonts w:hint="default"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相关地域市场</w:t>
                  </w:r>
                </w:p>
              </w:tc>
              <w:tc>
                <w:tcPr>
                  <w:tcW w:w="258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7"/>
                    <w:adjustRightInd w:val="0"/>
                    <w:snapToGrid w:val="0"/>
                    <w:spacing w:after="0" w:line="240" w:lineRule="auto"/>
                    <w:rPr>
                      <w:rFonts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</w:pPr>
                  <w:r>
                    <w:rPr>
                      <w:rFonts w:hint="default" w:ascii="Times New Roman" w:hAnsi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2023</w:t>
                  </w:r>
                  <w:r>
                    <w:rPr>
                      <w:rFonts w:hint="default"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年市场份额</w:t>
                  </w:r>
                </w:p>
              </w:tc>
            </w:tr>
            <w:tr>
              <w:tblPrEx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85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7"/>
                    <w:adjustRightInd w:val="0"/>
                    <w:snapToGrid w:val="0"/>
                    <w:spacing w:after="0" w:line="240" w:lineRule="auto"/>
                    <w:rPr>
                      <w:rFonts w:hint="eastAsia"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</w:pPr>
                  <w:r>
                    <w:rPr>
                      <w:rFonts w:hint="default"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</w:rPr>
                    <w:t>预焙阳极</w:t>
                  </w:r>
                  <w:r>
                    <w:rPr>
                      <w:rFonts w:hint="eastAsia" w:cs="Times New Roman" w:eastAsiaTheme="minorEastAsia"/>
                      <w:bCs/>
                      <w:color w:val="000000"/>
                      <w:sz w:val="22"/>
                      <w:szCs w:val="22"/>
                      <w:lang w:eastAsia="zh-CN"/>
                    </w:rPr>
                    <w:t>市场</w:t>
                  </w:r>
                </w:p>
              </w:tc>
              <w:tc>
                <w:tcPr>
                  <w:tcW w:w="197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7"/>
                    <w:adjustRightInd w:val="0"/>
                    <w:snapToGrid w:val="0"/>
                    <w:spacing w:after="0" w:line="240" w:lineRule="auto"/>
                    <w:rPr>
                      <w:rFonts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</w:pPr>
                  <w:r>
                    <w:rPr>
                      <w:rFonts w:hint="eastAsia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中国境内</w:t>
                  </w:r>
                </w:p>
              </w:tc>
              <w:tc>
                <w:tcPr>
                  <w:tcW w:w="258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7"/>
                    <w:adjustRightInd w:val="0"/>
                    <w:snapToGrid w:val="0"/>
                    <w:spacing w:after="0" w:line="240" w:lineRule="auto"/>
                    <w:rPr>
                      <w:rFonts w:hint="default" w:eastAsiaTheme="minorEastAsia"/>
                      <w:bCs/>
                      <w:color w:val="000000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default" w:eastAsiaTheme="minorEastAsia"/>
                      <w:bCs/>
                      <w:color w:val="000000"/>
                      <w:sz w:val="22"/>
                      <w:szCs w:val="22"/>
                      <w:lang w:eastAsia="zh-CN"/>
                    </w:rPr>
                    <w:t>索通发展：</w:t>
                  </w:r>
                  <w:r>
                    <w:rPr>
                      <w:rFonts w:hint="default" w:eastAsiaTheme="minorEastAsia"/>
                      <w:bCs/>
                      <w:color w:val="000000"/>
                      <w:sz w:val="22"/>
                      <w:szCs w:val="22"/>
                      <w:lang w:val="en-US" w:eastAsia="zh-CN"/>
                    </w:rPr>
                    <w:t>10%-15%</w:t>
                  </w:r>
                </w:p>
                <w:p>
                  <w:pPr>
                    <w:pStyle w:val="7"/>
                    <w:adjustRightInd w:val="0"/>
                    <w:snapToGrid w:val="0"/>
                    <w:spacing w:after="0"/>
                    <w:rPr>
                      <w:rFonts w:hint="default" w:cs="Times New Roman" w:eastAsiaTheme="minorEastAsia"/>
                      <w:bCs/>
                      <w:color w:val="000000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rFonts w:hint="default" w:cs="Times New Roman" w:eastAsiaTheme="minorEastAsia"/>
                      <w:bCs/>
                      <w:color w:val="000000"/>
                      <w:sz w:val="22"/>
                      <w:szCs w:val="22"/>
                      <w:lang w:val="en-US" w:eastAsia="zh-CN" w:bidi="ar-SA"/>
                    </w:rPr>
                    <w:t>吉利百矿：0-5%</w:t>
                  </w:r>
                </w:p>
                <w:p>
                  <w:pPr>
                    <w:pStyle w:val="7"/>
                    <w:adjustRightInd w:val="0"/>
                    <w:snapToGrid w:val="0"/>
                    <w:spacing w:after="0"/>
                    <w:rPr>
                      <w:rFonts w:hint="default" w:cs="Times New Roman" w:eastAsiaTheme="minorEastAsia"/>
                      <w:bCs/>
                      <w:color w:val="000000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rFonts w:hint="default" w:cs="Times New Roman" w:eastAsiaTheme="minorEastAsia"/>
                      <w:bCs/>
                      <w:color w:val="000000"/>
                      <w:sz w:val="22"/>
                      <w:szCs w:val="22"/>
                      <w:lang w:val="en-US" w:eastAsia="zh-CN" w:bidi="ar-SA"/>
                    </w:rPr>
                    <w:t>双方合计：10%-15%</w:t>
                  </w:r>
                </w:p>
              </w:tc>
            </w:tr>
          </w:tbl>
          <w:p>
            <w:pPr>
              <w:pStyle w:val="8"/>
              <w:spacing w:after="0"/>
              <w:ind w:firstLine="0" w:firstLineChars="0"/>
              <w:rPr>
                <w:rFonts w:hint="default" w:eastAsia="宋体"/>
                <w:b/>
                <w:color w:val="000000"/>
                <w:sz w:val="22"/>
                <w:szCs w:val="22"/>
                <w:lang w:eastAsia="zh-CN" w:bidi="ar-AE"/>
              </w:rPr>
            </w:pPr>
            <w:r>
              <w:rPr>
                <w:rFonts w:hint="default"/>
                <w:b/>
                <w:color w:val="000000"/>
                <w:sz w:val="22"/>
                <w:szCs w:val="22"/>
                <w:lang w:eastAsia="zh-CN" w:bidi="ar-AE"/>
              </w:rPr>
              <w:t>纵向关联：</w:t>
            </w:r>
          </w:p>
          <w:tbl>
            <w:tblPr>
              <w:tblStyle w:val="12"/>
              <w:tblW w:w="7404" w:type="dxa"/>
              <w:tblInd w:w="0" w:type="dxa"/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2850"/>
              <w:gridCol w:w="1971"/>
              <w:gridCol w:w="2583"/>
            </w:tblGrid>
            <w:tr>
              <w:tblPrEx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85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7"/>
                    <w:adjustRightInd w:val="0"/>
                    <w:snapToGrid w:val="0"/>
                    <w:spacing w:after="0" w:line="240" w:lineRule="auto"/>
                    <w:rPr>
                      <w:rFonts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</w:pPr>
                  <w:r>
                    <w:rPr>
                      <w:rFonts w:hint="default"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相关商品市场</w:t>
                  </w:r>
                </w:p>
              </w:tc>
              <w:tc>
                <w:tcPr>
                  <w:tcW w:w="197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7"/>
                    <w:adjustRightInd w:val="0"/>
                    <w:snapToGrid w:val="0"/>
                    <w:spacing w:after="0" w:line="240" w:lineRule="auto"/>
                    <w:rPr>
                      <w:rFonts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</w:pPr>
                  <w:r>
                    <w:rPr>
                      <w:rFonts w:hint="default"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相关地域市场</w:t>
                  </w:r>
                </w:p>
              </w:tc>
              <w:tc>
                <w:tcPr>
                  <w:tcW w:w="258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7"/>
                    <w:adjustRightInd w:val="0"/>
                    <w:snapToGrid w:val="0"/>
                    <w:spacing w:after="0" w:line="240" w:lineRule="auto"/>
                    <w:rPr>
                      <w:rFonts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</w:pPr>
                  <w:r>
                    <w:rPr>
                      <w:rFonts w:hint="default" w:ascii="Times New Roman" w:hAnsi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2023</w:t>
                  </w:r>
                  <w:r>
                    <w:rPr>
                      <w:rFonts w:hint="default"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年市场份额</w:t>
                  </w:r>
                </w:p>
              </w:tc>
            </w:tr>
            <w:tr>
              <w:tblPrEx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85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7"/>
                    <w:adjustRightInd w:val="0"/>
                    <w:snapToGrid w:val="0"/>
                    <w:spacing w:after="0" w:line="240" w:lineRule="auto"/>
                    <w:rPr>
                      <w:rFonts w:hint="eastAsia" w:eastAsiaTheme="minorEastAsia"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hint="default" w:eastAsiaTheme="minorEastAsia"/>
                      <w:bCs/>
                      <w:color w:val="000000"/>
                      <w:sz w:val="22"/>
                      <w:szCs w:val="22"/>
                      <w:lang w:eastAsia="zh-CN"/>
                    </w:rPr>
                    <w:t>上游：</w:t>
                  </w:r>
                  <w:r>
                    <w:rPr>
                      <w:rFonts w:hint="default" w:eastAsiaTheme="minorEastAsia"/>
                      <w:bCs/>
                      <w:color w:val="000000"/>
                      <w:sz w:val="22"/>
                      <w:szCs w:val="22"/>
                    </w:rPr>
                    <w:t>预焙阳极</w:t>
                  </w:r>
                  <w:r>
                    <w:rPr>
                      <w:rFonts w:hint="eastAsia" w:eastAsiaTheme="minorEastAsia"/>
                      <w:bCs/>
                      <w:color w:val="000000"/>
                      <w:sz w:val="22"/>
                      <w:szCs w:val="22"/>
                      <w:lang w:eastAsia="zh-CN"/>
                    </w:rPr>
                    <w:t>市场</w:t>
                  </w:r>
                </w:p>
                <w:p>
                  <w:pPr>
                    <w:pStyle w:val="7"/>
                    <w:adjustRightInd w:val="0"/>
                    <w:snapToGrid w:val="0"/>
                    <w:spacing w:after="0"/>
                    <w:rPr>
                      <w:rFonts w:hint="eastAsia" w:eastAsiaTheme="minorEastAsia"/>
                      <w:lang w:eastAsia="zh-CN"/>
                    </w:rPr>
                  </w:pPr>
                  <w:r>
                    <w:rPr>
                      <w:rFonts w:hint="default" w:cs="Times New Roman" w:eastAsiaTheme="minorEastAsia"/>
                      <w:bCs/>
                      <w:color w:val="000000"/>
                      <w:sz w:val="22"/>
                      <w:szCs w:val="22"/>
                      <w:lang w:eastAsia="zh-CN"/>
                    </w:rPr>
                    <w:t>下游：电解铝</w:t>
                  </w:r>
                  <w:r>
                    <w:rPr>
                      <w:rFonts w:hint="eastAsia" w:cs="Times New Roman" w:eastAsiaTheme="minorEastAsia"/>
                      <w:bCs/>
                      <w:color w:val="000000"/>
                      <w:sz w:val="22"/>
                      <w:szCs w:val="22"/>
                      <w:lang w:eastAsia="zh-CN"/>
                    </w:rPr>
                    <w:t>市场</w:t>
                  </w:r>
                </w:p>
              </w:tc>
              <w:tc>
                <w:tcPr>
                  <w:tcW w:w="197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7"/>
                    <w:adjustRightInd w:val="0"/>
                    <w:snapToGrid w:val="0"/>
                    <w:spacing w:after="0" w:line="240" w:lineRule="auto"/>
                    <w:rPr>
                      <w:rFonts w:hint="default" w:eastAsiaTheme="minorEastAsia"/>
                      <w:bCs/>
                      <w:color w:val="000000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hint="default" w:eastAsiaTheme="minorEastAsia"/>
                      <w:bCs/>
                      <w:color w:val="000000"/>
                      <w:sz w:val="22"/>
                      <w:szCs w:val="22"/>
                      <w:lang w:eastAsia="zh-CN"/>
                    </w:rPr>
                    <w:t>上游：中国境内</w:t>
                  </w:r>
                </w:p>
                <w:p>
                  <w:pPr>
                    <w:pStyle w:val="7"/>
                    <w:adjustRightInd w:val="0"/>
                    <w:snapToGrid w:val="0"/>
                    <w:spacing w:after="0"/>
                    <w:rPr>
                      <w:lang w:eastAsia="zh-CN"/>
                    </w:rPr>
                  </w:pPr>
                  <w:r>
                    <w:rPr>
                      <w:rFonts w:hint="default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下游：中国境内</w:t>
                  </w:r>
                </w:p>
              </w:tc>
              <w:tc>
                <w:tcPr>
                  <w:tcW w:w="258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7"/>
                    <w:adjustRightInd w:val="0"/>
                    <w:snapToGrid w:val="0"/>
                    <w:spacing w:after="0" w:line="240" w:lineRule="auto"/>
                    <w:rPr>
                      <w:rFonts w:hint="eastAsia" w:cs="Times New Roman" w:eastAsiaTheme="minorEastAsia"/>
                      <w:bCs/>
                      <w:color w:val="000000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hint="default"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上游：</w:t>
                  </w:r>
                  <w:r>
                    <w:rPr>
                      <w:rFonts w:hint="eastAsia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中国境内</w:t>
                  </w:r>
                  <w:r>
                    <w:rPr>
                      <w:rFonts w:hint="default"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</w:rPr>
                    <w:t>预焙阳极</w:t>
                  </w:r>
                  <w:r>
                    <w:rPr>
                      <w:rFonts w:hint="eastAsia" w:cs="Times New Roman" w:eastAsiaTheme="minorEastAsia"/>
                      <w:bCs/>
                      <w:color w:val="000000"/>
                      <w:sz w:val="22"/>
                      <w:szCs w:val="22"/>
                      <w:lang w:eastAsia="zh-CN"/>
                    </w:rPr>
                    <w:t>市场</w:t>
                  </w:r>
                </w:p>
                <w:p>
                  <w:pPr>
                    <w:pStyle w:val="7"/>
                    <w:adjustRightInd w:val="0"/>
                    <w:snapToGrid w:val="0"/>
                    <w:spacing w:after="0" w:line="240" w:lineRule="auto"/>
                    <w:rPr>
                      <w:rFonts w:hint="default" w:eastAsiaTheme="minorEastAsia"/>
                      <w:bCs/>
                      <w:color w:val="000000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default" w:eastAsiaTheme="minorEastAsia"/>
                      <w:bCs/>
                      <w:color w:val="000000"/>
                      <w:sz w:val="22"/>
                      <w:szCs w:val="22"/>
                      <w:lang w:eastAsia="zh-CN"/>
                    </w:rPr>
                    <w:t>索通发展：</w:t>
                  </w:r>
                  <w:r>
                    <w:rPr>
                      <w:rFonts w:hint="eastAsia" w:eastAsiaTheme="minorEastAsia"/>
                      <w:bCs/>
                      <w:color w:val="000000"/>
                      <w:sz w:val="22"/>
                      <w:szCs w:val="22"/>
                      <w:lang w:eastAsia="zh-CN"/>
                    </w:rPr>
                    <w:t>如上所述</w:t>
                  </w:r>
                </w:p>
                <w:p>
                  <w:pPr>
                    <w:pStyle w:val="7"/>
                    <w:adjustRightInd w:val="0"/>
                    <w:snapToGrid w:val="0"/>
                    <w:spacing w:after="0"/>
                    <w:rPr>
                      <w:rFonts w:hint="default" w:cs="Times New Roman" w:eastAsiaTheme="minorEastAsia"/>
                      <w:bCs/>
                      <w:color w:val="000000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rFonts w:hint="default" w:cs="Times New Roman" w:eastAsiaTheme="minorEastAsia"/>
                      <w:bCs/>
                      <w:color w:val="000000"/>
                      <w:sz w:val="22"/>
                      <w:szCs w:val="22"/>
                      <w:lang w:val="en-US" w:eastAsia="zh-CN" w:bidi="ar-SA"/>
                    </w:rPr>
                    <w:t>吉利百矿：</w:t>
                  </w:r>
                  <w:r>
                    <w:rPr>
                      <w:rFonts w:hint="eastAsia" w:cs="Times New Roman" w:eastAsiaTheme="minorEastAsia"/>
                      <w:bCs/>
                      <w:color w:val="000000"/>
                      <w:sz w:val="22"/>
                      <w:szCs w:val="22"/>
                      <w:lang w:val="en-US" w:eastAsia="zh-CN" w:bidi="ar-SA"/>
                    </w:rPr>
                    <w:t>如上所述</w:t>
                  </w:r>
                </w:p>
                <w:p>
                  <w:pPr>
                    <w:pStyle w:val="7"/>
                    <w:adjustRightInd w:val="0"/>
                    <w:snapToGrid w:val="0"/>
                    <w:spacing w:after="0" w:line="240" w:lineRule="auto"/>
                    <w:rPr>
                      <w:rFonts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</w:pPr>
                  <w:r>
                    <w:rPr>
                      <w:rFonts w:hint="default"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下游：</w:t>
                  </w:r>
                  <w:r>
                    <w:rPr>
                      <w:rFonts w:hint="eastAsia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中国境内电解铝市场</w:t>
                  </w:r>
                </w:p>
                <w:p>
                  <w:pPr>
                    <w:pStyle w:val="7"/>
                    <w:adjustRightInd w:val="0"/>
                    <w:snapToGrid w:val="0"/>
                    <w:spacing w:after="0"/>
                    <w:rPr>
                      <w:rFonts w:hint="default" w:cs="Times New Roman" w:eastAsiaTheme="minorEastAsia"/>
                      <w:bCs/>
                      <w:color w:val="000000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rFonts w:hint="default" w:cs="Times New Roman" w:eastAsiaTheme="minorEastAsia"/>
                      <w:bCs/>
                      <w:color w:val="000000"/>
                      <w:sz w:val="22"/>
                      <w:szCs w:val="22"/>
                      <w:lang w:val="en-US" w:eastAsia="zh-CN" w:bidi="ar-SA"/>
                    </w:rPr>
                    <w:t>吉利百矿：</w:t>
                  </w:r>
                  <w:r>
                    <w:rPr>
                      <w:rFonts w:hint="default"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0-5%</w:t>
                  </w:r>
                </w:p>
              </w:tc>
            </w:tr>
          </w:tbl>
          <w:p>
            <w:pPr>
              <w:pStyle w:val="8"/>
              <w:ind w:firstLine="0" w:firstLineChars="0"/>
              <w:rPr>
                <w:rFonts w:hint="default" w:eastAsia="宋体"/>
                <w:b/>
                <w:color w:val="000000"/>
                <w:sz w:val="22"/>
                <w:szCs w:val="22"/>
                <w:lang w:eastAsia="zh-CN" w:bidi="ar-AE"/>
              </w:rPr>
            </w:pPr>
          </w:p>
          <w:p>
            <w:pPr>
              <w:pStyle w:val="8"/>
              <w:ind w:firstLine="0" w:firstLineChars="0"/>
              <w:rPr>
                <w:rFonts w:hint="eastAsia" w:eastAsia="宋体"/>
                <w:b/>
                <w:color w:val="000000"/>
                <w:sz w:val="22"/>
                <w:szCs w:val="22"/>
                <w:lang w:eastAsia="zh-CN" w:bidi="ar-AE"/>
              </w:rPr>
            </w:pPr>
          </w:p>
        </w:tc>
      </w:tr>
    </w:tbl>
    <w:p>
      <w:pPr>
        <w:rPr>
          <w:rFonts w:hint="default" w:ascii="Times New Roman" w:hAnsi="Times New Roman" w:cs="Times New Roman" w:eastAsiaTheme="minorEastAsia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Simplified Arabic">
    <w:altName w:val="Arial"/>
    <w:panose1 w:val="02020603050405020304"/>
    <w:charset w:val="B2"/>
    <w:family w:val="roman"/>
    <w:pitch w:val="default"/>
    <w:sig w:usb0="00000000" w:usb1="00000000" w:usb2="00000000" w:usb3="00000000" w:csb0="00000041" w:csb1="2008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true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9"/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false" anchor="t" anchorCtr="false" forceAA="false" upright="false" compatLnSpc="tru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FgAAAGRycy9QSwECFAAUAAAACACH&#10;TuJAs0lY7tAAAAAFAQAADwAAAAAAAAABACAAAAA4AAAAZHJzL2Rvd25yZXYueG1sUEsBAhQAFAAA&#10;AAgAh07iQCYa0m4aAgAAKQQAAA4AAAAAAAAAAQAgAAAANQ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9"/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</w:pP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t>1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false"/>
  <w:bordersDoNotSurroundFooter w:val="false"/>
  <w:trackRevisions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NmMTI0ODhhNzFmMGU3MTZhMTA0ODYxYzI1N2YwYjIifQ=="/>
  </w:docVars>
  <w:rsids>
    <w:rsidRoot w:val="511505E7"/>
    <w:rsid w:val="00042BDD"/>
    <w:rsid w:val="0007692D"/>
    <w:rsid w:val="00087338"/>
    <w:rsid w:val="00114814"/>
    <w:rsid w:val="001B50F2"/>
    <w:rsid w:val="001C6148"/>
    <w:rsid w:val="001F1C3C"/>
    <w:rsid w:val="0022179C"/>
    <w:rsid w:val="00221FCA"/>
    <w:rsid w:val="00244DF9"/>
    <w:rsid w:val="00284710"/>
    <w:rsid w:val="00332EAC"/>
    <w:rsid w:val="00346B84"/>
    <w:rsid w:val="00367A54"/>
    <w:rsid w:val="004C4C54"/>
    <w:rsid w:val="00500F51"/>
    <w:rsid w:val="00504BEC"/>
    <w:rsid w:val="00507863"/>
    <w:rsid w:val="005C4EFC"/>
    <w:rsid w:val="0062408E"/>
    <w:rsid w:val="00627CE6"/>
    <w:rsid w:val="00646E32"/>
    <w:rsid w:val="006A20C6"/>
    <w:rsid w:val="006C3B44"/>
    <w:rsid w:val="00707821"/>
    <w:rsid w:val="0072474D"/>
    <w:rsid w:val="00734F51"/>
    <w:rsid w:val="007D63FA"/>
    <w:rsid w:val="007F706B"/>
    <w:rsid w:val="00816711"/>
    <w:rsid w:val="00826195"/>
    <w:rsid w:val="008472A3"/>
    <w:rsid w:val="00876497"/>
    <w:rsid w:val="009040AD"/>
    <w:rsid w:val="00934D60"/>
    <w:rsid w:val="00A73286"/>
    <w:rsid w:val="00B45330"/>
    <w:rsid w:val="00B93533"/>
    <w:rsid w:val="00BC4863"/>
    <w:rsid w:val="00BD3FB4"/>
    <w:rsid w:val="00BE051D"/>
    <w:rsid w:val="00C046B3"/>
    <w:rsid w:val="00D11F6E"/>
    <w:rsid w:val="00D14CED"/>
    <w:rsid w:val="00E40607"/>
    <w:rsid w:val="00E4263C"/>
    <w:rsid w:val="00E466FD"/>
    <w:rsid w:val="00F63099"/>
    <w:rsid w:val="00F7053E"/>
    <w:rsid w:val="00F90810"/>
    <w:rsid w:val="00FD5EA5"/>
    <w:rsid w:val="00FF42DD"/>
    <w:rsid w:val="011DF4EB"/>
    <w:rsid w:val="01B165CE"/>
    <w:rsid w:val="0217304F"/>
    <w:rsid w:val="02515359"/>
    <w:rsid w:val="030806B1"/>
    <w:rsid w:val="03490091"/>
    <w:rsid w:val="03D70EC9"/>
    <w:rsid w:val="04B425C4"/>
    <w:rsid w:val="04B85AFF"/>
    <w:rsid w:val="05AB50DB"/>
    <w:rsid w:val="06075F29"/>
    <w:rsid w:val="072729B8"/>
    <w:rsid w:val="07D6476B"/>
    <w:rsid w:val="087232C3"/>
    <w:rsid w:val="08D6542E"/>
    <w:rsid w:val="08ED34FD"/>
    <w:rsid w:val="093446A7"/>
    <w:rsid w:val="0AF22185"/>
    <w:rsid w:val="0B1835C3"/>
    <w:rsid w:val="0B63273E"/>
    <w:rsid w:val="0BD91CE7"/>
    <w:rsid w:val="0C6B60D7"/>
    <w:rsid w:val="0DE526A7"/>
    <w:rsid w:val="0E5C7E9D"/>
    <w:rsid w:val="0EEC791B"/>
    <w:rsid w:val="0F272A69"/>
    <w:rsid w:val="0FA436B7"/>
    <w:rsid w:val="0FBBC6D8"/>
    <w:rsid w:val="10C02711"/>
    <w:rsid w:val="12ED74AA"/>
    <w:rsid w:val="130B6D76"/>
    <w:rsid w:val="13236AF1"/>
    <w:rsid w:val="13D6674E"/>
    <w:rsid w:val="150C1E94"/>
    <w:rsid w:val="15D94F21"/>
    <w:rsid w:val="15E47716"/>
    <w:rsid w:val="1680064E"/>
    <w:rsid w:val="17436509"/>
    <w:rsid w:val="1AA11230"/>
    <w:rsid w:val="1B2D6269"/>
    <w:rsid w:val="1BF9394B"/>
    <w:rsid w:val="1BF9AB71"/>
    <w:rsid w:val="1C361957"/>
    <w:rsid w:val="1DA24124"/>
    <w:rsid w:val="1DFE30C6"/>
    <w:rsid w:val="1FC81833"/>
    <w:rsid w:val="20C2797E"/>
    <w:rsid w:val="215B059A"/>
    <w:rsid w:val="24606B41"/>
    <w:rsid w:val="246736EB"/>
    <w:rsid w:val="24840815"/>
    <w:rsid w:val="25C17900"/>
    <w:rsid w:val="261144B9"/>
    <w:rsid w:val="27B435B3"/>
    <w:rsid w:val="27ED6C10"/>
    <w:rsid w:val="281C288D"/>
    <w:rsid w:val="289A6D28"/>
    <w:rsid w:val="2B795B9C"/>
    <w:rsid w:val="2C0C7CCC"/>
    <w:rsid w:val="2CAC25FF"/>
    <w:rsid w:val="2DFF8C0F"/>
    <w:rsid w:val="2ECF569F"/>
    <w:rsid w:val="2F0902B7"/>
    <w:rsid w:val="3025112D"/>
    <w:rsid w:val="319E78FD"/>
    <w:rsid w:val="339B1A7D"/>
    <w:rsid w:val="34527864"/>
    <w:rsid w:val="356065C1"/>
    <w:rsid w:val="35741F7B"/>
    <w:rsid w:val="35927D49"/>
    <w:rsid w:val="35FF6E6A"/>
    <w:rsid w:val="36647739"/>
    <w:rsid w:val="36722108"/>
    <w:rsid w:val="37736187"/>
    <w:rsid w:val="37EC4B4C"/>
    <w:rsid w:val="3A7D25F4"/>
    <w:rsid w:val="3B6C128B"/>
    <w:rsid w:val="3BF42FA2"/>
    <w:rsid w:val="3C1B3849"/>
    <w:rsid w:val="3DBE0E38"/>
    <w:rsid w:val="3DCF2C73"/>
    <w:rsid w:val="3E3B322A"/>
    <w:rsid w:val="3EB7365E"/>
    <w:rsid w:val="3EBE2D3F"/>
    <w:rsid w:val="3ED7D01C"/>
    <w:rsid w:val="3EE73D98"/>
    <w:rsid w:val="3FFFF7A9"/>
    <w:rsid w:val="40D7777E"/>
    <w:rsid w:val="41D779C0"/>
    <w:rsid w:val="436E421B"/>
    <w:rsid w:val="43E353FE"/>
    <w:rsid w:val="45E92E66"/>
    <w:rsid w:val="46845245"/>
    <w:rsid w:val="46F216C3"/>
    <w:rsid w:val="48567BBA"/>
    <w:rsid w:val="48604985"/>
    <w:rsid w:val="48C332AF"/>
    <w:rsid w:val="49857111"/>
    <w:rsid w:val="498A72A0"/>
    <w:rsid w:val="4C824703"/>
    <w:rsid w:val="4CC01CF8"/>
    <w:rsid w:val="4CFD75DE"/>
    <w:rsid w:val="4D533669"/>
    <w:rsid w:val="4D611881"/>
    <w:rsid w:val="4DB67BAD"/>
    <w:rsid w:val="4DBF710D"/>
    <w:rsid w:val="4E585190"/>
    <w:rsid w:val="4E626EA5"/>
    <w:rsid w:val="4F7D0643"/>
    <w:rsid w:val="50CB3BDA"/>
    <w:rsid w:val="511505E7"/>
    <w:rsid w:val="5275657D"/>
    <w:rsid w:val="53701092"/>
    <w:rsid w:val="53DE53F7"/>
    <w:rsid w:val="549363D0"/>
    <w:rsid w:val="54D26C3D"/>
    <w:rsid w:val="54DD7AC9"/>
    <w:rsid w:val="55413F6A"/>
    <w:rsid w:val="558A3AEC"/>
    <w:rsid w:val="55FF4F39"/>
    <w:rsid w:val="563C0C84"/>
    <w:rsid w:val="567C47AD"/>
    <w:rsid w:val="568C7EFA"/>
    <w:rsid w:val="5721053D"/>
    <w:rsid w:val="5A320350"/>
    <w:rsid w:val="5A4E1134"/>
    <w:rsid w:val="5A8F5421"/>
    <w:rsid w:val="5AB377AC"/>
    <w:rsid w:val="5ADB7A9F"/>
    <w:rsid w:val="5BDF7AA8"/>
    <w:rsid w:val="5CC770F3"/>
    <w:rsid w:val="5DFF5221"/>
    <w:rsid w:val="5E606197"/>
    <w:rsid w:val="5E758AD3"/>
    <w:rsid w:val="5EFFEB53"/>
    <w:rsid w:val="5F5B3889"/>
    <w:rsid w:val="5F7404E1"/>
    <w:rsid w:val="60B85CFA"/>
    <w:rsid w:val="61AC7C2D"/>
    <w:rsid w:val="61F32521"/>
    <w:rsid w:val="631F82A6"/>
    <w:rsid w:val="63F6661D"/>
    <w:rsid w:val="64F94FB6"/>
    <w:rsid w:val="64FF0119"/>
    <w:rsid w:val="650C61D5"/>
    <w:rsid w:val="65183212"/>
    <w:rsid w:val="65AC0421"/>
    <w:rsid w:val="67090219"/>
    <w:rsid w:val="6754015D"/>
    <w:rsid w:val="67885F66"/>
    <w:rsid w:val="67D469E8"/>
    <w:rsid w:val="685D233B"/>
    <w:rsid w:val="69C0748D"/>
    <w:rsid w:val="69D3998A"/>
    <w:rsid w:val="6A7D30C3"/>
    <w:rsid w:val="6B9261CD"/>
    <w:rsid w:val="6B9A71CB"/>
    <w:rsid w:val="6BCB1BF4"/>
    <w:rsid w:val="6BCC0CB3"/>
    <w:rsid w:val="6C45316D"/>
    <w:rsid w:val="6CBF87B4"/>
    <w:rsid w:val="6DEFBAE0"/>
    <w:rsid w:val="6E372E5F"/>
    <w:rsid w:val="6E3FE820"/>
    <w:rsid w:val="6E786ABC"/>
    <w:rsid w:val="6F538C10"/>
    <w:rsid w:val="6FDF5799"/>
    <w:rsid w:val="710A7485"/>
    <w:rsid w:val="71394751"/>
    <w:rsid w:val="72131803"/>
    <w:rsid w:val="723024E6"/>
    <w:rsid w:val="73026B48"/>
    <w:rsid w:val="73FEEB6C"/>
    <w:rsid w:val="74566BED"/>
    <w:rsid w:val="74CE550B"/>
    <w:rsid w:val="74FA9F2D"/>
    <w:rsid w:val="755F49C7"/>
    <w:rsid w:val="767FE0B3"/>
    <w:rsid w:val="76AFBFF1"/>
    <w:rsid w:val="76CA40F3"/>
    <w:rsid w:val="77527FDF"/>
    <w:rsid w:val="77997569"/>
    <w:rsid w:val="77AFF4F6"/>
    <w:rsid w:val="77FF6A8C"/>
    <w:rsid w:val="77FFCFC3"/>
    <w:rsid w:val="78410251"/>
    <w:rsid w:val="793FB7A1"/>
    <w:rsid w:val="7A66B182"/>
    <w:rsid w:val="7A9C06E1"/>
    <w:rsid w:val="7AB91678"/>
    <w:rsid w:val="7B7BE66B"/>
    <w:rsid w:val="7B8F578C"/>
    <w:rsid w:val="7B9A66EF"/>
    <w:rsid w:val="7BE411F0"/>
    <w:rsid w:val="7BFFD823"/>
    <w:rsid w:val="7C7918BC"/>
    <w:rsid w:val="7EE72273"/>
    <w:rsid w:val="7EF7CDD2"/>
    <w:rsid w:val="7F4F7889"/>
    <w:rsid w:val="7F5A4555"/>
    <w:rsid w:val="7F7BEB9D"/>
    <w:rsid w:val="7FBF2495"/>
    <w:rsid w:val="7FDCAB43"/>
    <w:rsid w:val="7FE15510"/>
    <w:rsid w:val="7FE91E78"/>
    <w:rsid w:val="7FFDE69B"/>
    <w:rsid w:val="9CBD0B1A"/>
    <w:rsid w:val="A7F9C1DE"/>
    <w:rsid w:val="A9AD231D"/>
    <w:rsid w:val="ADFAC79E"/>
    <w:rsid w:val="AE7E1E17"/>
    <w:rsid w:val="AFA6DE92"/>
    <w:rsid w:val="B4FDF1E3"/>
    <w:rsid w:val="B593FB7D"/>
    <w:rsid w:val="B77D8EA8"/>
    <w:rsid w:val="B7AE5DA7"/>
    <w:rsid w:val="B9B92832"/>
    <w:rsid w:val="BCB7048F"/>
    <w:rsid w:val="BCF89F06"/>
    <w:rsid w:val="BEAF73DD"/>
    <w:rsid w:val="BF8E36EE"/>
    <w:rsid w:val="BF9347F3"/>
    <w:rsid w:val="BFDFB85E"/>
    <w:rsid w:val="BFF739EC"/>
    <w:rsid w:val="C3F5BA26"/>
    <w:rsid w:val="D5DB8D8A"/>
    <w:rsid w:val="D76F54F7"/>
    <w:rsid w:val="DDEFBA43"/>
    <w:rsid w:val="DEAFB90F"/>
    <w:rsid w:val="DF21B821"/>
    <w:rsid w:val="DFD76A11"/>
    <w:rsid w:val="E7FFE685"/>
    <w:rsid w:val="E9F71F09"/>
    <w:rsid w:val="EAFD8D58"/>
    <w:rsid w:val="EB6C770B"/>
    <w:rsid w:val="EBCD181E"/>
    <w:rsid w:val="EFFFDD70"/>
    <w:rsid w:val="F17F7A23"/>
    <w:rsid w:val="F1B778F1"/>
    <w:rsid w:val="F3BA9458"/>
    <w:rsid w:val="F3FF743F"/>
    <w:rsid w:val="F4FF55F7"/>
    <w:rsid w:val="F7EFF966"/>
    <w:rsid w:val="F7FD911C"/>
    <w:rsid w:val="F9DF2CA6"/>
    <w:rsid w:val="FB3326CC"/>
    <w:rsid w:val="FBCE4D19"/>
    <w:rsid w:val="FBFE1D07"/>
    <w:rsid w:val="FDBF10AA"/>
    <w:rsid w:val="FE5FA0A2"/>
    <w:rsid w:val="FEAEC70B"/>
    <w:rsid w:val="FF57FBD6"/>
    <w:rsid w:val="FF79F9CF"/>
    <w:rsid w:val="FFB70466"/>
    <w:rsid w:val="FFBC3961"/>
    <w:rsid w:val="FFCF003E"/>
    <w:rsid w:val="FFD95A98"/>
    <w:rsid w:val="FFEE6CF6"/>
    <w:rsid w:val="FFFF3A53"/>
    <w:rsid w:val="FFFF9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4"/>
    <w:next w:val="1"/>
    <w:qFormat/>
    <w:uiPriority w:val="9"/>
    <w:pPr>
      <w:spacing w:after="156" w:afterLines="50" w:line="640" w:lineRule="exact"/>
      <w:outlineLvl w:val="0"/>
    </w:pPr>
    <w:rPr>
      <w:rFonts w:ascii="方正小标宋简体" w:eastAsia="方正小标宋简体"/>
      <w:sz w:val="44"/>
      <w:szCs w:val="36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1"/>
    <w:qFormat/>
    <w:uiPriority w:val="99"/>
  </w:style>
  <w:style w:type="paragraph" w:customStyle="1" w:styleId="4">
    <w:name w:val="名称2"/>
    <w:basedOn w:val="5"/>
    <w:qFormat/>
    <w:uiPriority w:val="0"/>
    <w:pPr>
      <w:spacing w:after="312" w:afterLines="100"/>
    </w:pPr>
    <w:rPr>
      <w:b w:val="0"/>
      <w:sz w:val="20"/>
    </w:rPr>
  </w:style>
  <w:style w:type="paragraph" w:customStyle="1" w:styleId="5">
    <w:name w:val="名称"/>
    <w:basedOn w:val="1"/>
    <w:qFormat/>
    <w:uiPriority w:val="0"/>
    <w:pPr>
      <w:jc w:val="center"/>
    </w:pPr>
    <w:rPr>
      <w:b/>
      <w:kern w:val="0"/>
      <w:sz w:val="44"/>
      <w:szCs w:val="20"/>
    </w:rPr>
  </w:style>
  <w:style w:type="paragraph" w:styleId="6">
    <w:name w:val="annotation text"/>
    <w:basedOn w:val="1"/>
    <w:qFormat/>
    <w:uiPriority w:val="0"/>
    <w:pPr>
      <w:jc w:val="left"/>
    </w:pPr>
  </w:style>
  <w:style w:type="paragraph" w:styleId="7">
    <w:name w:val="Body Text"/>
    <w:basedOn w:val="1"/>
    <w:next w:val="8"/>
    <w:link w:val="18"/>
    <w:unhideWhenUsed/>
    <w:qFormat/>
    <w:uiPriority w:val="99"/>
    <w:pPr>
      <w:spacing w:after="120"/>
    </w:pPr>
  </w:style>
  <w:style w:type="paragraph" w:styleId="8">
    <w:name w:val="Body Text First Indent"/>
    <w:basedOn w:val="7"/>
    <w:qFormat/>
    <w:uiPriority w:val="0"/>
    <w:pPr>
      <w:ind w:firstLine="420" w:firstLineChars="100"/>
    </w:pPr>
  </w:style>
  <w:style w:type="paragraph" w:styleId="9">
    <w:name w:val="footer"/>
    <w:basedOn w:val="1"/>
    <w:link w:val="1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2"/>
    <w:basedOn w:val="1"/>
    <w:next w:val="1"/>
    <w:qFormat/>
    <w:uiPriority w:val="0"/>
    <w:pPr>
      <w:ind w:left="420" w:leftChars="200"/>
    </w:pPr>
    <w:rPr>
      <w:rFonts w:ascii="Times New Roman" w:hAnsi="Times New Roman" w:eastAsia="宋体"/>
      <w:sz w:val="30"/>
    </w:rPr>
  </w:style>
  <w:style w:type="table" w:styleId="13">
    <w:name w:val="Table Grid"/>
    <w:basedOn w:val="12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5">
    <w:name w:val="page number"/>
    <w:qFormat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character" w:customStyle="1" w:styleId="16">
    <w:name w:val="页眉 字符"/>
    <w:basedOn w:val="14"/>
    <w:link w:val="10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7">
    <w:name w:val="页脚 字符"/>
    <w:basedOn w:val="14"/>
    <w:link w:val="9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8">
    <w:name w:val="正文文本 字符"/>
    <w:basedOn w:val="14"/>
    <w:link w:val="7"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paragraph" w:styleId="19">
    <w:name w:val="List Paragraph"/>
    <w:basedOn w:val="1"/>
    <w:qFormat/>
    <w:uiPriority w:val="99"/>
    <w:pPr>
      <w:ind w:firstLine="420" w:firstLineChars="200"/>
    </w:pPr>
  </w:style>
  <w:style w:type="paragraph" w:customStyle="1" w:styleId="20">
    <w:name w:val="Footer Right"/>
    <w:basedOn w:val="9"/>
    <w:qFormat/>
    <w:uiPriority w:val="0"/>
    <w:pPr>
      <w:jc w:val="right"/>
    </w:pPr>
  </w:style>
  <w:style w:type="paragraph" w:customStyle="1" w:styleId="21">
    <w:name w:val="KWMCN-标准"/>
    <w:qFormat/>
    <w:uiPriority w:val="0"/>
    <w:p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其他省直机关单位</Company>
  <Pages>1</Pages>
  <Words>1707</Words>
  <Characters>1813</Characters>
  <Lines>1</Lines>
  <Paragraphs>1</Paragraphs>
  <TotalTime>7</TotalTime>
  <ScaleCrop>false</ScaleCrop>
  <LinksUpToDate>false</LinksUpToDate>
  <CharactersWithSpaces>1998</CharactersWithSpaces>
  <Application>WPS Office_11.8.2.10125_F1E327BC-269C-435d-A152-05C5408002CA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2023-03-02T09:34:00Z</dcterms:created>
  <dc:creator>张斌（反垄断处）</dc:creator>
  <cp:lastModifiedBy>scj</cp:lastModifiedBy>
  <cp:lastPrinted>2024-08-04T17:27:00Z</cp:lastPrinted>
  <dcterms:modified xsi:type="dcterms:W3CDTF">2024-09-02T16:58:55Z</dcterms:modified>
  <dc:title>关于经营者集中反垄断审查案件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  <property fmtid="{D5CDD505-2E9C-101B-9397-08002B2CF9AE}" pid="3" name="ICV">
    <vt:lpwstr>2F510BCF826C43248232D30198221AB7</vt:lpwstr>
  </property>
</Properties>
</file>