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left"/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</w:pPr>
      <w:bookmarkStart w:id="0" w:name="_GoBack"/>
      <w:bookmarkEnd w:id="0"/>
    </w:p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color w:val="auto"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color w:val="auto"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359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058"/>
        <w:gridCol w:w="54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1838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jc w:val="center"/>
              <w:rPr>
                <w:rFonts w:hint="eastAsia" w:ascii="Times New Roman" w:hAnsi="Times New Roman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案件名称</w:t>
            </w: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Lone Star Fund XII有限合伙收购开利全球公司部分业务案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</w:trPr>
        <w:tc>
          <w:tcPr>
            <w:tcW w:w="1838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  <w:r>
              <w:rPr>
                <w:rFonts w:hint="eastAsia" w:eastAsia="宋体"/>
                <w:b/>
                <w:color w:val="000000"/>
                <w:sz w:val="24"/>
              </w:rPr>
              <w:t>交易概况（限200字内）</w:t>
            </w: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Lone Star Fund XII有限合伙及其关联实体（“LSF XII”）、开利全球公司（“开利”）签署协议，LSF XII拟收购开利的全球火灾探测和报警系统产品业务（“目标业务”）。交易前，开利持有目标业务100%的股权，单独控制目标业务。交易后，LSF XII将间接持有目标业务100%的股权，并单独控制目标业务。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9" w:hRule="atLeast"/>
        </w:trPr>
        <w:tc>
          <w:tcPr>
            <w:tcW w:w="1838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  <w:r>
              <w:rPr>
                <w:rFonts w:hint="eastAsia" w:eastAsia="宋体"/>
                <w:b/>
                <w:color w:val="000000"/>
                <w:sz w:val="24"/>
              </w:rPr>
              <w:t>参与集中的经营者简介</w:t>
            </w:r>
          </w:p>
        </w:tc>
        <w:tc>
          <w:tcPr>
            <w:tcW w:w="2058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LSF XII</w:t>
            </w:r>
          </w:p>
        </w:tc>
        <w:tc>
          <w:tcPr>
            <w:tcW w:w="5463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LSF XII于2022年6月于百慕大群岛成立。LSF XII主要从事私募股权投资业务。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LSF XII的最终控制人是Lone Star（龙星基金）。龙星基金主要从事私募股权投资业务，投资于全球房地产、股权、信贷和其他金融资产。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1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2058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目标业务</w:t>
            </w:r>
          </w:p>
        </w:tc>
        <w:tc>
          <w:tcPr>
            <w:tcW w:w="5463" w:type="dxa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目标业务于1990年11月起在美国开展业务。目标业务主要从事火灾探测和报警系统产品的生产和销售。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目标业务的最终控制人是开利。开利主要从事供暖、通风和空调、制冷和消防及安全解决方案的全球制造和供应。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38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  <w:r>
              <w:rPr>
                <w:rFonts w:hint="eastAsia" w:eastAsia="宋体"/>
                <w:b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sym w:font="Wingdings" w:char="F0FE"/>
            </w: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838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1838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center"/>
              <w:rPr>
                <w:rFonts w:hint="eastAsia" w:eastAsia="宋体"/>
                <w:b/>
                <w:color w:val="000000"/>
                <w:sz w:val="24"/>
              </w:rPr>
            </w:pPr>
            <w:r>
              <w:rPr>
                <w:rFonts w:hint="eastAsia" w:eastAsia="宋体"/>
                <w:b/>
                <w:color w:val="000000"/>
                <w:sz w:val="24"/>
              </w:rPr>
              <w:t>备注</w:t>
            </w:r>
          </w:p>
        </w:tc>
        <w:tc>
          <w:tcPr>
            <w:tcW w:w="7521" w:type="dxa"/>
            <w:gridSpan w:val="2"/>
            <w:shd w:val="clear" w:color="auto" w:fill="auto"/>
            <w:vAlign w:val="center"/>
          </w:tcPr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混合集中：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2023年中国境内火灾探测和报警系统产品市场</w:t>
            </w:r>
          </w:p>
          <w:p>
            <w:pPr>
              <w:widowControl/>
              <w:adjustRightInd w:val="0"/>
              <w:snapToGrid w:val="0"/>
              <w:jc w:val="left"/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</w:pPr>
            <w:r>
              <w:rPr>
                <w:rFonts w:hint="eastAsia" w:eastAsia="宋体"/>
                <w:bCs/>
                <w:color w:val="000000"/>
                <w:kern w:val="0"/>
                <w:sz w:val="22"/>
                <w:szCs w:val="22"/>
                <w:lang w:bidi="ar-AE"/>
              </w:rPr>
              <w:t>目标业务： 15-20%</w:t>
            </w:r>
          </w:p>
        </w:tc>
      </w:tr>
    </w:tbl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color w:val="auto"/>
          <w:kern w:val="0"/>
          <w:sz w:val="44"/>
          <w:szCs w:val="44"/>
          <w:lang w:val="en-GB" w:bidi="ar-AE"/>
        </w:rPr>
      </w:pPr>
    </w:p>
    <w:p>
      <w:pPr>
        <w:rPr>
          <w:rFonts w:hint="default" w:ascii="Times New Roman" w:hAnsi="Times New Roman" w:eastAsia="宋体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004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fals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1024;mso-width-relative:page;mso-height-relative:page;" filled="f" stroked="f" coordsize="21600,21600" o:gfxdata="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BYA&#10;AABkcnMvUEsBAhQAFAAAAAgAh07iQLl1uVLQAAAABQEAAA8AAAAAAAAAAQAgAAAAOAAAAGRycy9k&#10;b3ducmV2LnhtbFBLAQIUABQAAAAIAIdO4kDz9duHuwEAAFQDAAAOAAAAAAAAAAEAIAAAADU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AFF6C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qFormat/>
    <w:uiPriority w:val="1"/>
  </w:style>
  <w:style w:type="table" w:default="1" w:styleId="10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="宋体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1522</Words>
  <Characters>1769</Characters>
  <Paragraphs>171</Paragraphs>
  <TotalTime>4</TotalTime>
  <ScaleCrop>false</ScaleCrop>
  <LinksUpToDate>false</LinksUpToDate>
  <CharactersWithSpaces>1929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2023-02-26T17:34:00Z</dcterms:created>
  <dc:creator>张斌（反垄断处）</dc:creator>
  <cp:lastModifiedBy>scj</cp:lastModifiedBy>
  <cp:lastPrinted>2024-04-05T09:34:00Z</cp:lastPrinted>
  <dcterms:modified xsi:type="dcterms:W3CDTF">2024-10-08T09:59:04Z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4E3C4726E290A80A216DA366ECBAFC18</vt:lpwstr>
  </property>
</Properties>
</file>