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center"/>
        <w:textAlignment w:val="auto"/>
        <w:rPr>
          <w:rFonts w:eastAsia="黑体" w:cs="黑体"/>
          <w:bCs/>
          <w:sz w:val="36"/>
          <w:szCs w:val="36"/>
        </w:rPr>
      </w:pPr>
      <w:r>
        <w:rPr>
          <w:rFonts w:hint="eastAsia" w:eastAsia="黑体" w:cs="黑体"/>
          <w:bCs/>
          <w:sz w:val="36"/>
          <w:szCs w:val="36"/>
        </w:rPr>
        <w:t>经营者集中简易案件公示表</w:t>
      </w:r>
    </w:p>
    <w:tbl>
      <w:tblPr>
        <w:tblStyle w:val="11"/>
        <w:tblW w:w="8952" w:type="dxa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455"/>
        <w:gridCol w:w="555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6" w:hRule="atLeast"/>
        </w:trPr>
        <w:tc>
          <w:tcPr>
            <w:tcW w:w="1940" w:type="dxa"/>
            <w:shd w:val="clear" w:color="auto" w:fill="D9D9D9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 w:cs="Times New Roman"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Cs/>
                <w:color w:val="000000"/>
                <w:sz w:val="24"/>
                <w:szCs w:val="24"/>
              </w:rPr>
              <w:t>案件名称</w:t>
            </w:r>
          </w:p>
        </w:tc>
        <w:tc>
          <w:tcPr>
            <w:tcW w:w="7012" w:type="dxa"/>
            <w:gridSpan w:val="2"/>
            <w:vAlign w:val="center"/>
          </w:tcPr>
          <w:p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default" w:eastAsia="宋体"/>
                <w:sz w:val="24"/>
                <w:szCs w:val="24"/>
                <w:lang w:val="en-US" w:bidi="ar-SA"/>
              </w:rPr>
            </w:pPr>
            <w:r>
              <w:rPr>
                <w:rFonts w:hint="eastAsia" w:eastAsia="宋体"/>
                <w:sz w:val="24"/>
                <w:szCs w:val="24"/>
                <w:lang w:val="en-US" w:bidi="ar-SA"/>
              </w:rPr>
              <w:t>中海油电力投资有限公司收购广州白云恒运能源有限公司股权案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4" w:hRule="atLeast"/>
        </w:trPr>
        <w:tc>
          <w:tcPr>
            <w:tcW w:w="1940" w:type="dxa"/>
            <w:shd w:val="clear" w:color="auto" w:fill="D9D9D9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 w:cs="Times New Roman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Cs/>
                <w:color w:val="000000"/>
                <w:sz w:val="24"/>
                <w:szCs w:val="24"/>
                <w:lang w:eastAsia="zh-CN"/>
              </w:rPr>
              <w:t>交易概况（限200字内）</w:t>
            </w:r>
          </w:p>
        </w:tc>
        <w:tc>
          <w:tcPr>
            <w:tcW w:w="7012" w:type="dxa"/>
            <w:gridSpan w:val="2"/>
            <w:vAlign w:val="center"/>
          </w:tcPr>
          <w:p>
            <w:pPr>
              <w:pStyle w:val="23"/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beforeAutospacing="0" w:afterAutospacing="0" w:line="360" w:lineRule="exact"/>
              <w:ind w:left="0" w:right="0"/>
              <w:jc w:val="both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  <w:t>中海油电力投资有限公司（“海油电投”）与广州恒运企业集团股份有限公司（“恒运集团”）签署交易协议，海油电投拟收购广州白云恒运能源有限公司（“恒运白云”）51%的股权。交易前，恒运集团持有恒运白云100%股权，单独控制恒运白云。交易后，海油电投和恒运集团将分别持有恒运白云51%和49%的股权，共同控制恒运白云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8" w:hRule="atLeast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 w:cs="Times New Roman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Cs/>
                <w:color w:val="000000"/>
                <w:sz w:val="24"/>
                <w:szCs w:val="24"/>
                <w:lang w:eastAsia="zh-CN"/>
              </w:rPr>
              <w:t>参与集中的经营者简介（每个限</w:t>
            </w:r>
            <w:r>
              <w:rPr>
                <w:rFonts w:hint="default" w:cs="Times New Roman"/>
                <w:bCs/>
                <w:color w:val="000000"/>
                <w:sz w:val="24"/>
                <w:szCs w:val="24"/>
                <w:lang w:val="en-US" w:eastAsia="zh-CN"/>
              </w:rPr>
              <w:t>100字以内</w:t>
            </w:r>
            <w:r>
              <w:rPr>
                <w:rFonts w:hint="default" w:cs="Times New Roman"/>
                <w:bCs/>
                <w:color w:val="000000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1455" w:type="dxa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default" w:cs="Times New Roman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default" w:cs="Times New Roman"/>
                <w:bCs/>
                <w:color w:val="000000"/>
                <w:sz w:val="24"/>
                <w:szCs w:val="24"/>
                <w:lang w:val="en-US" w:eastAsia="zh-CN"/>
              </w:rPr>
              <w:t>1.</w:t>
            </w:r>
            <w:r>
              <w:rPr>
                <w:rFonts w:hint="default" w:cs="Times New Roman"/>
                <w:bCs/>
                <w:color w:val="000000"/>
                <w:sz w:val="24"/>
                <w:szCs w:val="24"/>
                <w:lang w:eastAsia="zh-CN"/>
              </w:rPr>
              <w:t>海油电投</w:t>
            </w:r>
          </w:p>
        </w:tc>
        <w:tc>
          <w:tcPr>
            <w:tcW w:w="5557" w:type="dxa"/>
            <w:vAlign w:val="center"/>
          </w:tcPr>
          <w:p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both"/>
              <w:rPr>
                <w:rFonts w:hint="eastAsia" w:eastAsia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 w:bidi="ar-SA"/>
              </w:rPr>
              <w:t>海油电投于2020年12月17日成立于广东省中山市，主要从事天然气发电、电力投资、购售电、碳交易等业务。</w:t>
            </w:r>
          </w:p>
          <w:p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both"/>
              <w:rPr>
                <w:rFonts w:hint="default" w:cs="Times New Roman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 w:bidi="ar-SA"/>
              </w:rPr>
              <w:t>海油电投的最终控制人为中国海洋石油集团有限公司（“中国海油”），</w:t>
            </w:r>
            <w:r>
              <w:rPr>
                <w:rFonts w:hint="eastAsia"/>
                <w:sz w:val="24"/>
                <w:szCs w:val="24"/>
                <w:lang w:val="en-US" w:eastAsia="zh-CN" w:bidi="ar-SA"/>
              </w:rPr>
              <w:t>中国海油</w:t>
            </w:r>
            <w:r>
              <w:rPr>
                <w:rFonts w:hint="eastAsia" w:eastAsia="宋体"/>
                <w:sz w:val="24"/>
                <w:szCs w:val="24"/>
                <w:lang w:val="en-US" w:eastAsia="zh-CN" w:bidi="ar-SA"/>
              </w:rPr>
              <w:t>主要</w:t>
            </w:r>
            <w:r>
              <w:rPr>
                <w:rFonts w:hint="eastAsia"/>
                <w:sz w:val="24"/>
                <w:szCs w:val="24"/>
                <w:lang w:val="en-US" w:eastAsia="zh-CN" w:bidi="ar-SA"/>
              </w:rPr>
              <w:t>从事</w:t>
            </w:r>
            <w:r>
              <w:rPr>
                <w:rFonts w:hint="eastAsia" w:eastAsia="宋体"/>
                <w:sz w:val="24"/>
                <w:szCs w:val="24"/>
                <w:lang w:val="en-US" w:eastAsia="zh-CN" w:bidi="ar-SA"/>
              </w:rPr>
              <w:t>油气勘探开发、炼化与销售、天然气</w:t>
            </w:r>
            <w:r>
              <w:rPr>
                <w:rFonts w:hint="eastAsia"/>
                <w:sz w:val="24"/>
                <w:szCs w:val="24"/>
                <w:lang w:val="en-US" w:eastAsia="zh-CN" w:bidi="ar-SA"/>
              </w:rPr>
              <w:t>及</w:t>
            </w:r>
            <w:r>
              <w:rPr>
                <w:rFonts w:hint="eastAsia" w:eastAsia="宋体"/>
                <w:sz w:val="24"/>
                <w:szCs w:val="24"/>
                <w:lang w:val="en-US" w:eastAsia="zh-CN" w:bidi="ar-SA"/>
              </w:rPr>
              <w:t>发电</w:t>
            </w:r>
            <w:r>
              <w:rPr>
                <w:rFonts w:hint="eastAsia"/>
                <w:sz w:val="24"/>
                <w:szCs w:val="24"/>
                <w:lang w:val="en-US" w:eastAsia="zh-CN" w:bidi="ar-SA"/>
              </w:rPr>
              <w:t>、海上风电</w:t>
            </w:r>
            <w:r>
              <w:rPr>
                <w:rFonts w:hint="eastAsia" w:eastAsia="宋体"/>
                <w:sz w:val="24"/>
                <w:szCs w:val="24"/>
                <w:lang w:val="en-US" w:eastAsia="zh-CN" w:bidi="ar-SA"/>
              </w:rPr>
              <w:t>等业务。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2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 w:cs="Times New Roman"/>
                <w:bCs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455" w:type="dxa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default" w:cs="Times New Roman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default" w:cs="Times New Roman"/>
                <w:bCs/>
                <w:color w:val="000000"/>
                <w:sz w:val="24"/>
                <w:szCs w:val="24"/>
                <w:lang w:val="en-US" w:eastAsia="zh-CN"/>
              </w:rPr>
              <w:t>2.</w:t>
            </w:r>
            <w:r>
              <w:rPr>
                <w:rFonts w:hint="eastAsia" w:cs="Times New Roman"/>
                <w:bCs/>
                <w:color w:val="000000"/>
                <w:sz w:val="24"/>
                <w:szCs w:val="24"/>
                <w:lang w:eastAsia="zh-CN"/>
              </w:rPr>
              <w:t>恒运集团</w:t>
            </w:r>
          </w:p>
        </w:tc>
        <w:tc>
          <w:tcPr>
            <w:tcW w:w="5557" w:type="dxa"/>
            <w:vAlign w:val="center"/>
          </w:tcPr>
          <w:p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both"/>
              <w:rPr>
                <w:rFonts w:hint="eastAsia"/>
                <w:sz w:val="24"/>
                <w:szCs w:val="24"/>
                <w:lang w:val="en-US" w:bidi="ar-SA"/>
              </w:rPr>
            </w:pPr>
            <w:r>
              <w:rPr>
                <w:rFonts w:hint="eastAsia"/>
                <w:sz w:val="24"/>
                <w:szCs w:val="24"/>
                <w:lang w:val="en-US" w:bidi="ar-SA"/>
              </w:rPr>
              <w:t>恒运集团于1992年11月30日成立于广东省广州市，为深圳证券交易所上市公司</w:t>
            </w:r>
            <w:r>
              <w:rPr>
                <w:rFonts w:hint="eastAsia"/>
                <w:sz w:val="24"/>
                <w:szCs w:val="24"/>
                <w:lang w:val="en-US" w:eastAsia="zh-CN" w:bidi="ar-SA"/>
              </w:rPr>
              <w:t>，</w:t>
            </w:r>
            <w:r>
              <w:rPr>
                <w:rFonts w:hint="eastAsia"/>
                <w:sz w:val="24"/>
                <w:szCs w:val="24"/>
                <w:lang w:val="en-US" w:bidi="ar-SA"/>
              </w:rPr>
              <w:t>主要从事清洁能源业务、新能源业务、金融业务和园区建设。</w:t>
            </w:r>
          </w:p>
          <w:p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both"/>
              <w:rPr>
                <w:rFonts w:hint="default"/>
                <w:bCs/>
                <w:color w:val="000000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bidi="ar-SA"/>
              </w:rPr>
              <w:t>恒运集团</w:t>
            </w:r>
            <w:r>
              <w:rPr>
                <w:rFonts w:hint="eastAsia"/>
                <w:sz w:val="24"/>
                <w:szCs w:val="24"/>
                <w:lang w:val="en-US" w:eastAsia="zh-CN" w:bidi="ar-SA"/>
              </w:rPr>
              <w:t>的</w:t>
            </w:r>
            <w:r>
              <w:rPr>
                <w:rFonts w:hint="eastAsia"/>
                <w:sz w:val="24"/>
                <w:szCs w:val="24"/>
                <w:lang w:val="en-US" w:bidi="ar-SA"/>
              </w:rPr>
              <w:t>最终控制人为广州开发区控股集团有限公司（“广开控股”）和广州高新区投资集团有限公司（“高新区集团”）。广开控股主要从事科技金融服务、科技战略投资与科技园区运营业务，高新区集团主要从事生物医药、检验检测、医美健康等生物医药与健康产业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 w:cs="Times New Roman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Cs/>
                <w:color w:val="000000"/>
                <w:sz w:val="24"/>
                <w:szCs w:val="24"/>
                <w:lang w:eastAsia="zh-CN"/>
              </w:rPr>
              <w:t>简易案件理由（可以单选，也可以多选）</w:t>
            </w:r>
          </w:p>
        </w:tc>
        <w:tc>
          <w:tcPr>
            <w:tcW w:w="7012" w:type="dxa"/>
            <w:gridSpan w:val="2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default" w:cs="Times New Roman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Cs/>
                <w:sz w:val="24"/>
                <w:szCs w:val="24"/>
              </w:rPr>
              <w:sym w:font="Wingdings" w:char="F0FE"/>
            </w:r>
            <w:r>
              <w:rPr>
                <w:rFonts w:hint="default" w:cs="Times New Roman"/>
                <w:bCs/>
                <w:color w:val="000000"/>
                <w:sz w:val="24"/>
                <w:szCs w:val="24"/>
                <w:lang w:eastAsia="zh-CN"/>
              </w:rPr>
              <w:t xml:space="preserve"> 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 w:cs="Times New Roman"/>
                <w:bCs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7012" w:type="dxa"/>
            <w:gridSpan w:val="2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default" w:cs="Times New Roman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Cs/>
                <w:sz w:val="24"/>
                <w:szCs w:val="24"/>
              </w:rPr>
              <w:sym w:font="Wingdings" w:char="00FE"/>
            </w:r>
            <w:r>
              <w:rPr>
                <w:rFonts w:hint="default" w:cs="Times New Roman"/>
                <w:bCs/>
                <w:color w:val="000000"/>
                <w:sz w:val="24"/>
                <w:szCs w:val="24"/>
                <w:lang w:eastAsia="zh-CN"/>
              </w:rPr>
              <w:t xml:space="preserve"> 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 w:cs="Times New Roman"/>
                <w:bCs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7012" w:type="dxa"/>
            <w:gridSpan w:val="2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default" w:cs="Times New Roman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Cs/>
                <w:color w:val="000000"/>
                <w:sz w:val="24"/>
                <w:szCs w:val="24"/>
                <w:lang w:eastAsia="zh-CN"/>
              </w:rPr>
              <w:sym w:font="Wingdings" w:char="00A8"/>
            </w:r>
            <w:r>
              <w:rPr>
                <w:rFonts w:hint="default" w:cs="Times New Roman"/>
                <w:bCs/>
                <w:color w:val="000000"/>
                <w:sz w:val="24"/>
                <w:szCs w:val="24"/>
                <w:lang w:eastAsia="zh-CN"/>
              </w:rPr>
              <w:t xml:space="preserve">  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 w:cs="Times New Roman"/>
                <w:bCs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7012" w:type="dxa"/>
            <w:gridSpan w:val="2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default" w:cs="Times New Roman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Cs/>
                <w:color w:val="000000"/>
                <w:sz w:val="24"/>
                <w:szCs w:val="24"/>
                <w:lang w:eastAsia="zh-CN"/>
              </w:rPr>
              <w:sym w:font="Wingdings" w:char="00A8"/>
            </w:r>
            <w:r>
              <w:rPr>
                <w:rFonts w:hint="default" w:cs="Times New Roman"/>
                <w:bCs/>
                <w:color w:val="000000"/>
                <w:sz w:val="24"/>
                <w:szCs w:val="24"/>
                <w:lang w:eastAsia="zh-CN"/>
              </w:rPr>
              <w:t xml:space="preserve"> 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 w:cs="Times New Roman"/>
                <w:bCs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7012" w:type="dxa"/>
            <w:gridSpan w:val="2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default" w:cs="Times New Roman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Cs/>
                <w:color w:val="000000"/>
                <w:sz w:val="24"/>
                <w:szCs w:val="24"/>
                <w:lang w:eastAsia="zh-CN"/>
              </w:rPr>
              <w:sym w:font="Wingdings" w:char="00A8"/>
            </w:r>
            <w:r>
              <w:rPr>
                <w:rFonts w:hint="default" w:cs="Times New Roman"/>
                <w:bCs/>
                <w:color w:val="000000"/>
                <w:sz w:val="24"/>
                <w:szCs w:val="24"/>
                <w:lang w:eastAsia="zh-CN"/>
              </w:rPr>
              <w:t xml:space="preserve"> 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 w:cs="Times New Roman"/>
                <w:bCs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7012" w:type="dxa"/>
            <w:gridSpan w:val="2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default" w:cs="Times New Roman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Cs/>
                <w:color w:val="000000"/>
                <w:sz w:val="24"/>
                <w:szCs w:val="24"/>
                <w:lang w:eastAsia="zh-CN"/>
              </w:rPr>
              <w:sym w:font="Wingdings" w:char="00A8"/>
            </w:r>
            <w:r>
              <w:rPr>
                <w:rFonts w:hint="default" w:cs="Times New Roman"/>
                <w:bCs/>
                <w:color w:val="000000"/>
                <w:sz w:val="24"/>
                <w:szCs w:val="24"/>
                <w:lang w:eastAsia="zh-CN"/>
              </w:rPr>
              <w:t xml:space="preserve"> 6、由两个以上的经营者共同控制的合营企业，通过集中被其中一个或一个以上经营者</w:t>
            </w:r>
            <w:bookmarkStart w:id="0" w:name="_GoBack"/>
            <w:bookmarkEnd w:id="0"/>
            <w:r>
              <w:rPr>
                <w:rFonts w:hint="default" w:cs="Times New Roman"/>
                <w:bCs/>
                <w:color w:val="000000"/>
                <w:sz w:val="24"/>
                <w:szCs w:val="24"/>
                <w:lang w:eastAsia="zh-CN"/>
              </w:rPr>
              <w:t>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1" w:hRule="atLeast"/>
        </w:trPr>
        <w:tc>
          <w:tcPr>
            <w:tcW w:w="1940" w:type="dxa"/>
            <w:shd w:val="clear" w:color="auto" w:fill="D9D9D9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 w:cs="Times New Roman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Cs/>
                <w:color w:val="000000"/>
                <w:sz w:val="24"/>
                <w:szCs w:val="24"/>
                <w:lang w:val="en-US" w:eastAsia="zh-CN"/>
              </w:rPr>
              <w:t>备注</w:t>
            </w:r>
          </w:p>
        </w:tc>
        <w:tc>
          <w:tcPr>
            <w:tcW w:w="7012" w:type="dxa"/>
            <w:gridSpan w:val="2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>横向重叠：</w:t>
            </w:r>
          </w:p>
          <w:tbl>
            <w:tblPr>
              <w:tblStyle w:val="12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265"/>
              <w:gridCol w:w="2265"/>
              <w:gridCol w:w="2266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65" w:type="dxa"/>
                </w:tcPr>
                <w:p>
                  <w:pPr>
                    <w:pStyle w:val="5"/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/>
                      <w:sz w:val="24"/>
                      <w:szCs w:val="24"/>
                      <w:vertAlign w:val="baseline"/>
                      <w:lang w:eastAsia="zh-CN"/>
                    </w:rPr>
                  </w:pPr>
                  <w:r>
                    <w:rPr>
                      <w:rFonts w:hint="eastAsia"/>
                      <w:sz w:val="24"/>
                      <w:szCs w:val="24"/>
                      <w:vertAlign w:val="baseline"/>
                      <w:lang w:eastAsia="zh-CN"/>
                    </w:rPr>
                    <w:t>相关商品市场</w:t>
                  </w:r>
                </w:p>
              </w:tc>
              <w:tc>
                <w:tcPr>
                  <w:tcW w:w="2265" w:type="dxa"/>
                </w:tcPr>
                <w:p>
                  <w:pPr>
                    <w:pStyle w:val="5"/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/>
                      <w:sz w:val="24"/>
                      <w:szCs w:val="24"/>
                      <w:vertAlign w:val="baseline"/>
                      <w:lang w:eastAsia="zh-CN"/>
                    </w:rPr>
                  </w:pPr>
                  <w:r>
                    <w:rPr>
                      <w:rFonts w:hint="eastAsia"/>
                      <w:sz w:val="24"/>
                      <w:szCs w:val="24"/>
                      <w:vertAlign w:val="baseline"/>
                      <w:lang w:eastAsia="zh-CN"/>
                    </w:rPr>
                    <w:t>相关地域市场</w:t>
                  </w:r>
                </w:p>
              </w:tc>
              <w:tc>
                <w:tcPr>
                  <w:tcW w:w="2266" w:type="dxa"/>
                </w:tcPr>
                <w:p>
                  <w:pPr>
                    <w:pStyle w:val="5"/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24"/>
                      <w:szCs w:val="24"/>
                      <w:vertAlign w:val="baseline"/>
                      <w:lang w:val="en-US" w:eastAsia="zh-CN"/>
                    </w:rPr>
                    <w:t>2023年市场份额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65" w:type="dxa"/>
                </w:tcPr>
                <w:p>
                  <w:pPr>
                    <w:pStyle w:val="5"/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/>
                    <w:ind w:left="0" w:right="0"/>
                    <w:rPr>
                      <w:rFonts w:hint="eastAsia"/>
                      <w:sz w:val="24"/>
                      <w:szCs w:val="24"/>
                      <w:vertAlign w:val="baseline"/>
                      <w:lang w:eastAsia="zh-CN"/>
                    </w:rPr>
                  </w:pPr>
                  <w:r>
                    <w:rPr>
                      <w:rFonts w:hint="eastAsia"/>
                      <w:sz w:val="24"/>
                      <w:szCs w:val="24"/>
                      <w:vertAlign w:val="baseline"/>
                      <w:lang w:eastAsia="zh-CN"/>
                    </w:rPr>
                    <w:t>天然气发电市场</w:t>
                  </w:r>
                </w:p>
              </w:tc>
              <w:tc>
                <w:tcPr>
                  <w:tcW w:w="2265" w:type="dxa"/>
                </w:tcPr>
                <w:p>
                  <w:pPr>
                    <w:pStyle w:val="5"/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/>
                    <w:ind w:left="0" w:right="0"/>
                    <w:rPr>
                      <w:rFonts w:hint="eastAsia"/>
                      <w:sz w:val="24"/>
                      <w:szCs w:val="24"/>
                      <w:vertAlign w:val="baseline"/>
                      <w:lang w:eastAsia="zh-CN"/>
                    </w:rPr>
                  </w:pPr>
                  <w:r>
                    <w:rPr>
                      <w:rFonts w:hint="eastAsia"/>
                      <w:sz w:val="24"/>
                      <w:szCs w:val="24"/>
                      <w:vertAlign w:val="baseline"/>
                      <w:lang w:eastAsia="zh-CN"/>
                    </w:rPr>
                    <w:t>中国境内</w:t>
                  </w:r>
                </w:p>
              </w:tc>
              <w:tc>
                <w:tcPr>
                  <w:tcW w:w="2266" w:type="dxa"/>
                </w:tcPr>
                <w:p>
                  <w:pPr>
                    <w:pStyle w:val="5"/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/>
                    <w:ind w:left="0" w:right="0"/>
                    <w:rPr>
                      <w:rFonts w:hint="eastAsia"/>
                      <w:sz w:val="24"/>
                      <w:szCs w:val="24"/>
                      <w:vertAlign w:val="baseline"/>
                      <w:lang w:eastAsia="zh-CN"/>
                    </w:rPr>
                  </w:pPr>
                  <w:r>
                    <w:rPr>
                      <w:rFonts w:hint="eastAsia"/>
                      <w:sz w:val="24"/>
                      <w:szCs w:val="24"/>
                      <w:vertAlign w:val="baseline"/>
                      <w:lang w:eastAsia="zh-CN"/>
                    </w:rPr>
                    <w:t>海油电投：5-10%</w:t>
                  </w:r>
                </w:p>
                <w:p>
                  <w:pPr>
                    <w:pStyle w:val="5"/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/>
                    <w:ind w:left="0" w:right="0"/>
                    <w:rPr>
                      <w:rFonts w:hint="eastAsia"/>
                      <w:sz w:val="24"/>
                      <w:szCs w:val="24"/>
                      <w:vertAlign w:val="baseline"/>
                      <w:lang w:eastAsia="zh-CN"/>
                    </w:rPr>
                  </w:pPr>
                  <w:r>
                    <w:rPr>
                      <w:rFonts w:hint="eastAsia"/>
                      <w:sz w:val="24"/>
                      <w:szCs w:val="24"/>
                      <w:vertAlign w:val="baseline"/>
                      <w:lang w:eastAsia="zh-CN"/>
                    </w:rPr>
                    <w:t>恒运集团：0-5%</w:t>
                  </w:r>
                </w:p>
                <w:p>
                  <w:pPr>
                    <w:pStyle w:val="5"/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/>
                    <w:ind w:left="0" w:right="0"/>
                    <w:rPr>
                      <w:rFonts w:hint="eastAsia"/>
                      <w:sz w:val="24"/>
                      <w:szCs w:val="24"/>
                      <w:vertAlign w:val="baseline"/>
                      <w:lang w:eastAsia="zh-CN"/>
                    </w:rPr>
                  </w:pPr>
                  <w:r>
                    <w:rPr>
                      <w:rFonts w:hint="eastAsia"/>
                      <w:sz w:val="24"/>
                      <w:szCs w:val="24"/>
                      <w:vertAlign w:val="baseline"/>
                      <w:lang w:eastAsia="zh-CN"/>
                    </w:rPr>
                    <w:t>恒运白云：0-5%</w:t>
                  </w:r>
                </w:p>
                <w:p>
                  <w:pPr>
                    <w:pStyle w:val="5"/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/>
                    <w:ind w:left="0" w:right="0"/>
                    <w:rPr>
                      <w:rFonts w:hint="eastAsia"/>
                      <w:sz w:val="24"/>
                      <w:szCs w:val="24"/>
                      <w:vertAlign w:val="baseline"/>
                      <w:lang w:eastAsia="zh-CN"/>
                    </w:rPr>
                  </w:pPr>
                  <w:r>
                    <w:rPr>
                      <w:rFonts w:hint="eastAsia"/>
                      <w:sz w:val="24"/>
                      <w:szCs w:val="24"/>
                      <w:vertAlign w:val="baseline"/>
                      <w:lang w:eastAsia="zh-CN"/>
                    </w:rPr>
                    <w:t>各方合计：5-10%</w:t>
                  </w:r>
                </w:p>
              </w:tc>
            </w:tr>
          </w:tbl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>纵向关联：</w:t>
            </w:r>
          </w:p>
          <w:tbl>
            <w:tblPr>
              <w:tblStyle w:val="12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265"/>
              <w:gridCol w:w="2265"/>
              <w:gridCol w:w="2266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65" w:type="dxa"/>
                </w:tcPr>
                <w:p>
                  <w:pPr>
                    <w:pStyle w:val="5"/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/>
                      <w:sz w:val="24"/>
                      <w:szCs w:val="24"/>
                      <w:vertAlign w:val="baseline"/>
                      <w:lang w:eastAsia="zh-CN"/>
                    </w:rPr>
                  </w:pPr>
                  <w:r>
                    <w:rPr>
                      <w:rFonts w:hint="eastAsia"/>
                      <w:sz w:val="24"/>
                      <w:szCs w:val="24"/>
                      <w:vertAlign w:val="baseline"/>
                      <w:lang w:eastAsia="zh-CN"/>
                    </w:rPr>
                    <w:t>相关商品市场</w:t>
                  </w:r>
                </w:p>
              </w:tc>
              <w:tc>
                <w:tcPr>
                  <w:tcW w:w="2265" w:type="dxa"/>
                </w:tcPr>
                <w:p>
                  <w:pPr>
                    <w:pStyle w:val="5"/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/>
                      <w:sz w:val="24"/>
                      <w:szCs w:val="24"/>
                      <w:vertAlign w:val="baseline"/>
                      <w:lang w:eastAsia="zh-CN"/>
                    </w:rPr>
                  </w:pPr>
                  <w:r>
                    <w:rPr>
                      <w:rFonts w:hint="eastAsia"/>
                      <w:sz w:val="24"/>
                      <w:szCs w:val="24"/>
                      <w:vertAlign w:val="baseline"/>
                      <w:lang w:eastAsia="zh-CN"/>
                    </w:rPr>
                    <w:t>相关地域市场</w:t>
                  </w:r>
                </w:p>
              </w:tc>
              <w:tc>
                <w:tcPr>
                  <w:tcW w:w="2266" w:type="dxa"/>
                </w:tcPr>
                <w:p>
                  <w:pPr>
                    <w:pStyle w:val="5"/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24"/>
                      <w:szCs w:val="24"/>
                      <w:vertAlign w:val="baseline"/>
                      <w:lang w:val="en-US" w:eastAsia="zh-CN"/>
                    </w:rPr>
                    <w:t>2023年市场份额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65" w:type="dxa"/>
                </w:tcPr>
                <w:p>
                  <w:pPr>
                    <w:pStyle w:val="5"/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/>
                    <w:ind w:left="0" w:right="0"/>
                    <w:rPr>
                      <w:rFonts w:hint="eastAsia" w:eastAsia="宋体" w:cs="Times New Roman"/>
                      <w:bCs w:val="0"/>
                      <w:sz w:val="24"/>
                      <w:szCs w:val="24"/>
                      <w:lang w:val="en-US" w:eastAsia="zh-CN" w:bidi="ar"/>
                    </w:rPr>
                  </w:pPr>
                  <w:r>
                    <w:rPr>
                      <w:rFonts w:hint="eastAsia" w:eastAsia="宋体" w:cs="Times New Roman"/>
                      <w:bCs w:val="0"/>
                      <w:sz w:val="24"/>
                      <w:szCs w:val="24"/>
                      <w:lang w:val="en-US" w:eastAsia="zh-CN" w:bidi="ar"/>
                    </w:rPr>
                    <w:t>上游：天然气批发供应市场</w:t>
                  </w:r>
                </w:p>
                <w:p>
                  <w:pPr>
                    <w:pStyle w:val="5"/>
                    <w:keepNext w:val="0"/>
                    <w:keepLines w:val="0"/>
                    <w:pageBreakBefore w:val="0"/>
                    <w:widowControl w:val="0"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before="0" w:beforeAutospacing="0" w:after="0" w:afterAutospacing="0" w:line="360" w:lineRule="exact"/>
                    <w:ind w:left="0" w:right="0"/>
                    <w:textAlignment w:val="auto"/>
                    <w:rPr>
                      <w:rFonts w:hint="eastAsia" w:eastAsia="宋体" w:cs="Times New Roman"/>
                      <w:bCs w:val="0"/>
                      <w:sz w:val="24"/>
                      <w:szCs w:val="24"/>
                      <w:lang w:val="en-US" w:eastAsia="zh-CN" w:bidi="ar"/>
                    </w:rPr>
                  </w:pPr>
                </w:p>
                <w:p>
                  <w:pPr>
                    <w:pStyle w:val="5"/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/>
                    <w:ind w:left="0" w:right="0"/>
                    <w:rPr>
                      <w:rFonts w:hint="eastAsia"/>
                      <w:sz w:val="24"/>
                      <w:szCs w:val="24"/>
                      <w:vertAlign w:val="baseline"/>
                      <w:lang w:eastAsia="zh-CN"/>
                    </w:rPr>
                  </w:pPr>
                  <w:r>
                    <w:rPr>
                      <w:rFonts w:hint="eastAsia" w:eastAsia="宋体" w:cs="Times New Roman"/>
                      <w:bCs w:val="0"/>
                      <w:sz w:val="24"/>
                      <w:szCs w:val="24"/>
                      <w:lang w:val="en-US" w:eastAsia="zh-CN" w:bidi="ar"/>
                    </w:rPr>
                    <w:t>下游：天然气发电市场</w:t>
                  </w:r>
                </w:p>
              </w:tc>
              <w:tc>
                <w:tcPr>
                  <w:tcW w:w="2265" w:type="dxa"/>
                </w:tcPr>
                <w:p>
                  <w:pPr>
                    <w:pStyle w:val="5"/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/>
                    <w:ind w:left="0" w:right="0"/>
                    <w:rPr>
                      <w:rFonts w:hint="eastAsia" w:eastAsia="宋体" w:cs="Times New Roman"/>
                      <w:bCs w:val="0"/>
                      <w:sz w:val="24"/>
                      <w:szCs w:val="24"/>
                      <w:lang w:val="en-US" w:eastAsia="zh-CN" w:bidi="ar"/>
                    </w:rPr>
                  </w:pPr>
                  <w:r>
                    <w:rPr>
                      <w:rFonts w:hint="eastAsia" w:eastAsia="宋体" w:cs="Times New Roman"/>
                      <w:bCs w:val="0"/>
                      <w:sz w:val="24"/>
                      <w:szCs w:val="24"/>
                      <w:lang w:val="en-US" w:eastAsia="zh-CN" w:bidi="ar"/>
                    </w:rPr>
                    <w:t>上游：中国境内</w:t>
                  </w:r>
                </w:p>
                <w:p>
                  <w:pPr>
                    <w:pStyle w:val="5"/>
                    <w:keepNext w:val="0"/>
                    <w:keepLines w:val="0"/>
                    <w:pageBreakBefore w:val="0"/>
                    <w:widowControl w:val="0"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before="0" w:beforeAutospacing="0" w:after="0" w:afterAutospacing="0" w:line="360" w:lineRule="exact"/>
                    <w:ind w:left="0" w:right="0"/>
                    <w:textAlignment w:val="auto"/>
                    <w:rPr>
                      <w:rFonts w:hint="eastAsia" w:eastAsia="宋体" w:cs="Times New Roman"/>
                      <w:bCs w:val="0"/>
                      <w:sz w:val="24"/>
                      <w:szCs w:val="24"/>
                      <w:lang w:val="en-US" w:eastAsia="zh-CN" w:bidi="ar"/>
                    </w:rPr>
                  </w:pPr>
                </w:p>
                <w:p>
                  <w:pPr>
                    <w:pStyle w:val="5"/>
                    <w:keepNext w:val="0"/>
                    <w:keepLines w:val="0"/>
                    <w:pageBreakBefore w:val="0"/>
                    <w:widowControl w:val="0"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before="0" w:beforeAutospacing="0" w:after="0" w:afterAutospacing="0" w:line="360" w:lineRule="exact"/>
                    <w:ind w:left="0" w:right="0"/>
                    <w:textAlignment w:val="auto"/>
                    <w:rPr>
                      <w:rFonts w:hint="eastAsia" w:eastAsia="宋体" w:cs="Times New Roman"/>
                      <w:bCs w:val="0"/>
                      <w:sz w:val="24"/>
                      <w:szCs w:val="24"/>
                      <w:lang w:val="en-US" w:eastAsia="zh-CN" w:bidi="ar"/>
                    </w:rPr>
                  </w:pPr>
                </w:p>
                <w:p>
                  <w:pPr>
                    <w:pStyle w:val="5"/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/>
                    <w:ind w:left="0" w:right="0"/>
                    <w:rPr>
                      <w:rFonts w:hint="eastAsia"/>
                      <w:sz w:val="24"/>
                      <w:szCs w:val="24"/>
                      <w:vertAlign w:val="baseline"/>
                      <w:lang w:eastAsia="zh-CN"/>
                    </w:rPr>
                  </w:pPr>
                  <w:r>
                    <w:rPr>
                      <w:rFonts w:hint="eastAsia" w:eastAsia="宋体" w:cs="Times New Roman"/>
                      <w:bCs w:val="0"/>
                      <w:sz w:val="24"/>
                      <w:szCs w:val="24"/>
                      <w:lang w:val="en-US" w:eastAsia="zh-CN" w:bidi="ar"/>
                    </w:rPr>
                    <w:t>下游：中国境内</w:t>
                  </w:r>
                </w:p>
              </w:tc>
              <w:tc>
                <w:tcPr>
                  <w:tcW w:w="2266" w:type="dxa"/>
                </w:tcPr>
                <w:p>
                  <w:pPr>
                    <w:pStyle w:val="5"/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/>
                    <w:ind w:left="0" w:right="0"/>
                    <w:rPr>
                      <w:rFonts w:hint="eastAsia" w:cs="Times New Roman"/>
                      <w:bCs w:val="0"/>
                      <w:sz w:val="24"/>
                      <w:szCs w:val="24"/>
                      <w:lang w:val="en-US" w:eastAsia="zh-CN" w:bidi="ar"/>
                    </w:rPr>
                  </w:pPr>
                  <w:r>
                    <w:rPr>
                      <w:rFonts w:hint="eastAsia" w:cs="Times New Roman"/>
                      <w:bCs w:val="0"/>
                      <w:sz w:val="24"/>
                      <w:szCs w:val="24"/>
                      <w:lang w:val="en-US" w:eastAsia="zh-CN" w:bidi="ar"/>
                    </w:rPr>
                    <w:t>上游：中国境内天然气批发供应市场</w:t>
                  </w:r>
                </w:p>
                <w:p>
                  <w:pPr>
                    <w:pStyle w:val="5"/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/>
                    <w:ind w:left="0" w:right="0"/>
                    <w:rPr>
                      <w:rFonts w:hint="default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default" w:eastAsia="宋体"/>
                      <w:sz w:val="24"/>
                      <w:szCs w:val="24"/>
                      <w:lang w:val="en-US" w:eastAsia="zh-CN"/>
                    </w:rPr>
                    <w:t>海油电投：</w:t>
                  </w:r>
                  <w:r>
                    <w:rPr>
                      <w:rFonts w:hint="eastAsia" w:eastAsia="宋体"/>
                      <w:sz w:val="24"/>
                      <w:szCs w:val="24"/>
                      <w:lang w:val="en-US" w:eastAsia="zh-CN"/>
                    </w:rPr>
                    <w:t>1</w:t>
                  </w:r>
                  <w:r>
                    <w:rPr>
                      <w:rFonts w:hint="default" w:eastAsia="宋体"/>
                      <w:sz w:val="24"/>
                      <w:szCs w:val="24"/>
                      <w:lang w:val="en-US" w:eastAsia="zh-CN"/>
                    </w:rPr>
                    <w:t>5-</w:t>
                  </w:r>
                  <w:r>
                    <w:rPr>
                      <w:rFonts w:hint="eastAsia" w:eastAsia="宋体"/>
                      <w:sz w:val="24"/>
                      <w:szCs w:val="24"/>
                      <w:lang w:val="en-US" w:eastAsia="zh-CN"/>
                    </w:rPr>
                    <w:t>2</w:t>
                  </w:r>
                  <w:r>
                    <w:rPr>
                      <w:rFonts w:hint="default" w:eastAsia="宋体"/>
                      <w:sz w:val="24"/>
                      <w:szCs w:val="24"/>
                      <w:lang w:val="en-US" w:eastAsia="zh-CN"/>
                    </w:rPr>
                    <w:t>0%</w:t>
                  </w:r>
                </w:p>
                <w:p>
                  <w:pPr>
                    <w:pStyle w:val="5"/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/>
                    <w:ind w:left="0" w:right="0"/>
                    <w:rPr>
                      <w:rFonts w:hint="eastAsia" w:eastAsia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eastAsia="宋体"/>
                      <w:sz w:val="24"/>
                      <w:szCs w:val="24"/>
                      <w:lang w:val="en-US" w:eastAsia="zh-CN"/>
                    </w:rPr>
                    <w:t>下游：中国境内天然气发电市场</w:t>
                  </w:r>
                </w:p>
                <w:p>
                  <w:pPr>
                    <w:pStyle w:val="5"/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/>
                    <w:ind w:left="0" w:right="0"/>
                    <w:rPr>
                      <w:rFonts w:hint="eastAsia"/>
                      <w:sz w:val="24"/>
                      <w:szCs w:val="24"/>
                      <w:vertAlign w:val="baseline"/>
                      <w:lang w:eastAsia="zh-CN"/>
                    </w:rPr>
                  </w:pPr>
                  <w:r>
                    <w:rPr>
                      <w:rFonts w:hint="eastAsia"/>
                      <w:sz w:val="24"/>
                      <w:szCs w:val="24"/>
                      <w:lang w:val="en-US" w:eastAsia="zh-CN"/>
                    </w:rPr>
                    <w:t>如上所述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65" w:type="dxa"/>
                </w:tcPr>
                <w:p>
                  <w:pPr>
                    <w:pStyle w:val="5"/>
                    <w:keepNext w:val="0"/>
                    <w:keepLines w:val="0"/>
                    <w:pageBreakBefore w:val="0"/>
                    <w:widowControl w:val="0"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before="0" w:beforeAutospacing="0" w:after="0" w:afterAutospacing="0" w:line="240" w:lineRule="auto"/>
                    <w:ind w:left="0" w:right="0"/>
                    <w:textAlignment w:val="auto"/>
                    <w:rPr>
                      <w:rFonts w:hint="eastAsia" w:eastAsia="宋体" w:cs="Times New Roman"/>
                      <w:bCs w:val="0"/>
                      <w:sz w:val="24"/>
                      <w:szCs w:val="24"/>
                      <w:lang w:val="en-US" w:eastAsia="zh-CN" w:bidi="ar"/>
                    </w:rPr>
                  </w:pPr>
                  <w:r>
                    <w:rPr>
                      <w:rFonts w:hint="eastAsia" w:eastAsia="宋体" w:cs="Times New Roman"/>
                      <w:bCs w:val="0"/>
                      <w:sz w:val="24"/>
                      <w:szCs w:val="24"/>
                      <w:lang w:val="en-US" w:eastAsia="zh-CN" w:bidi="ar"/>
                    </w:rPr>
                    <w:t>上游：天然气发电市场</w:t>
                  </w:r>
                </w:p>
                <w:p>
                  <w:pPr>
                    <w:pStyle w:val="5"/>
                    <w:keepNext w:val="0"/>
                    <w:keepLines w:val="0"/>
                    <w:pageBreakBefore w:val="0"/>
                    <w:widowControl w:val="0"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before="0" w:beforeAutospacing="0" w:after="0" w:afterAutospacing="0" w:line="360" w:lineRule="exact"/>
                    <w:ind w:left="0" w:right="0"/>
                    <w:textAlignment w:val="auto"/>
                    <w:rPr>
                      <w:rFonts w:hint="eastAsia" w:eastAsia="宋体" w:cs="Times New Roman"/>
                      <w:bCs w:val="0"/>
                      <w:sz w:val="24"/>
                      <w:szCs w:val="24"/>
                      <w:lang w:val="en-US" w:eastAsia="zh-CN" w:bidi="ar"/>
                    </w:rPr>
                  </w:pPr>
                </w:p>
                <w:p>
                  <w:pPr>
                    <w:pStyle w:val="5"/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/>
                    <w:ind w:left="0" w:right="0"/>
                    <w:rPr>
                      <w:rFonts w:hint="eastAsia"/>
                      <w:sz w:val="24"/>
                      <w:szCs w:val="24"/>
                      <w:vertAlign w:val="baseline"/>
                      <w:lang w:eastAsia="zh-CN"/>
                    </w:rPr>
                  </w:pPr>
                  <w:r>
                    <w:rPr>
                      <w:rFonts w:hint="eastAsia" w:eastAsia="宋体" w:cs="Times New Roman"/>
                      <w:bCs w:val="0"/>
                      <w:sz w:val="24"/>
                      <w:szCs w:val="24"/>
                      <w:lang w:val="en-US" w:eastAsia="zh-CN" w:bidi="ar"/>
                    </w:rPr>
                    <w:t>下游：电力销售市场</w:t>
                  </w:r>
                </w:p>
              </w:tc>
              <w:tc>
                <w:tcPr>
                  <w:tcW w:w="2265" w:type="dxa"/>
                </w:tcPr>
                <w:p>
                  <w:pPr>
                    <w:pStyle w:val="5"/>
                    <w:keepNext w:val="0"/>
                    <w:keepLines w:val="0"/>
                    <w:pageBreakBefore w:val="0"/>
                    <w:widowControl w:val="0"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before="0" w:beforeAutospacing="0" w:after="0" w:afterAutospacing="0" w:line="240" w:lineRule="auto"/>
                    <w:ind w:left="0" w:right="0"/>
                    <w:textAlignment w:val="auto"/>
                    <w:rPr>
                      <w:rFonts w:hint="eastAsia" w:eastAsia="宋体" w:cs="Times New Roman"/>
                      <w:bCs w:val="0"/>
                      <w:sz w:val="24"/>
                      <w:szCs w:val="24"/>
                      <w:lang w:val="en-US" w:eastAsia="zh-CN" w:bidi="ar"/>
                    </w:rPr>
                  </w:pPr>
                  <w:r>
                    <w:rPr>
                      <w:rFonts w:hint="eastAsia" w:eastAsia="宋体" w:cs="Times New Roman"/>
                      <w:bCs w:val="0"/>
                      <w:sz w:val="24"/>
                      <w:szCs w:val="24"/>
                      <w:lang w:val="en-US" w:eastAsia="zh-CN" w:bidi="ar"/>
                    </w:rPr>
                    <w:t>上游：中国境内</w:t>
                  </w:r>
                </w:p>
                <w:p>
                  <w:pPr>
                    <w:pStyle w:val="5"/>
                    <w:keepNext w:val="0"/>
                    <w:keepLines w:val="0"/>
                    <w:pageBreakBefore w:val="0"/>
                    <w:widowControl w:val="0"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before="0" w:beforeAutospacing="0" w:after="0" w:afterAutospacing="0" w:line="360" w:lineRule="exact"/>
                    <w:ind w:left="0" w:right="0"/>
                    <w:textAlignment w:val="auto"/>
                    <w:rPr>
                      <w:rFonts w:hint="eastAsia" w:eastAsia="宋体" w:cs="Times New Roman"/>
                      <w:bCs w:val="0"/>
                      <w:sz w:val="24"/>
                      <w:szCs w:val="24"/>
                      <w:lang w:val="en-US" w:eastAsia="zh-CN" w:bidi="ar"/>
                    </w:rPr>
                  </w:pPr>
                </w:p>
                <w:p>
                  <w:pPr>
                    <w:pStyle w:val="5"/>
                    <w:keepNext w:val="0"/>
                    <w:keepLines w:val="0"/>
                    <w:pageBreakBefore w:val="0"/>
                    <w:widowControl w:val="0"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before="0" w:beforeAutospacing="0" w:after="0" w:afterAutospacing="0" w:line="360" w:lineRule="exact"/>
                    <w:ind w:left="0" w:right="0"/>
                    <w:textAlignment w:val="auto"/>
                    <w:rPr>
                      <w:rFonts w:hint="eastAsia"/>
                      <w:lang w:val="en-US" w:eastAsia="zh-CN"/>
                    </w:rPr>
                  </w:pPr>
                </w:p>
                <w:p>
                  <w:pPr>
                    <w:pStyle w:val="5"/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/>
                    <w:ind w:left="0" w:right="0"/>
                    <w:rPr>
                      <w:rFonts w:hint="eastAsia"/>
                      <w:sz w:val="24"/>
                      <w:szCs w:val="24"/>
                      <w:vertAlign w:val="baseline"/>
                      <w:lang w:eastAsia="zh-CN"/>
                    </w:rPr>
                  </w:pPr>
                  <w:r>
                    <w:rPr>
                      <w:rFonts w:hint="eastAsia" w:eastAsia="宋体" w:cs="Times New Roman"/>
                      <w:bCs w:val="0"/>
                      <w:sz w:val="24"/>
                      <w:szCs w:val="24"/>
                      <w:lang w:val="en-US" w:eastAsia="zh-CN" w:bidi="ar"/>
                    </w:rPr>
                    <w:t>下游：中国境内</w:t>
                  </w:r>
                </w:p>
              </w:tc>
              <w:tc>
                <w:tcPr>
                  <w:tcW w:w="2266" w:type="dxa"/>
                </w:tcPr>
                <w:p>
                  <w:pPr>
                    <w:pStyle w:val="5"/>
                    <w:keepNext w:val="0"/>
                    <w:keepLines w:val="0"/>
                    <w:pageBreakBefore w:val="0"/>
                    <w:widowControl w:val="0"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before="0" w:beforeAutospacing="0" w:after="0" w:afterAutospacing="0" w:line="240" w:lineRule="auto"/>
                    <w:ind w:left="0" w:right="0"/>
                    <w:textAlignment w:val="auto"/>
                    <w:rPr>
                      <w:rFonts w:hint="eastAsia" w:eastAsia="宋体" w:cs="Times New Roman"/>
                      <w:bCs w:val="0"/>
                      <w:sz w:val="24"/>
                      <w:szCs w:val="24"/>
                      <w:lang w:val="en-US" w:eastAsia="zh-CN" w:bidi="ar"/>
                    </w:rPr>
                  </w:pPr>
                  <w:r>
                    <w:rPr>
                      <w:rFonts w:hint="eastAsia" w:eastAsia="宋体" w:cs="Times New Roman"/>
                      <w:bCs w:val="0"/>
                      <w:sz w:val="24"/>
                      <w:szCs w:val="24"/>
                      <w:lang w:val="en-US" w:eastAsia="zh-CN" w:bidi="ar"/>
                    </w:rPr>
                    <w:t>上游：中国境内天然气发电市场</w:t>
                  </w:r>
                </w:p>
                <w:p>
                  <w:pPr>
                    <w:pStyle w:val="5"/>
                    <w:keepNext w:val="0"/>
                    <w:keepLines w:val="0"/>
                    <w:pageBreakBefore w:val="0"/>
                    <w:widowControl w:val="0"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before="0" w:beforeAutospacing="0" w:after="0" w:afterAutospacing="0" w:line="240" w:lineRule="auto"/>
                    <w:ind w:left="0" w:right="0"/>
                    <w:textAlignment w:val="auto"/>
                    <w:rPr>
                      <w:rFonts w:hint="eastAsia" w:eastAsia="宋体" w:cs="Times New Roman"/>
                      <w:bCs w:val="0"/>
                      <w:sz w:val="24"/>
                      <w:szCs w:val="24"/>
                      <w:lang w:val="en-US" w:eastAsia="zh-CN" w:bidi="ar"/>
                    </w:rPr>
                  </w:pPr>
                  <w:r>
                    <w:rPr>
                      <w:rFonts w:hint="eastAsia" w:eastAsia="宋体" w:cs="Times New Roman"/>
                      <w:bCs w:val="0"/>
                      <w:sz w:val="24"/>
                      <w:szCs w:val="24"/>
                      <w:lang w:val="en-US" w:eastAsia="zh-CN" w:bidi="ar"/>
                    </w:rPr>
                    <w:t>如上所述</w:t>
                  </w:r>
                </w:p>
                <w:p>
                  <w:pPr>
                    <w:pStyle w:val="5"/>
                    <w:keepNext w:val="0"/>
                    <w:keepLines w:val="0"/>
                    <w:pageBreakBefore w:val="0"/>
                    <w:widowControl w:val="0"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before="0" w:beforeAutospacing="0" w:after="0" w:afterAutospacing="0" w:line="240" w:lineRule="auto"/>
                    <w:ind w:left="0" w:right="0"/>
                    <w:textAlignment w:val="auto"/>
                    <w:rPr>
                      <w:rFonts w:hint="eastAsia" w:eastAsia="宋体" w:cs="Times New Roman"/>
                      <w:bCs w:val="0"/>
                      <w:sz w:val="24"/>
                      <w:szCs w:val="24"/>
                      <w:lang w:val="en-US" w:eastAsia="zh-CN" w:bidi="ar"/>
                    </w:rPr>
                  </w:pPr>
                  <w:r>
                    <w:rPr>
                      <w:rFonts w:hint="eastAsia" w:eastAsia="宋体" w:cs="Times New Roman"/>
                      <w:bCs w:val="0"/>
                      <w:sz w:val="24"/>
                      <w:szCs w:val="24"/>
                      <w:lang w:val="en-US" w:eastAsia="zh-CN" w:bidi="ar"/>
                    </w:rPr>
                    <w:t>下游：中国境内电力销售市场</w:t>
                  </w:r>
                </w:p>
                <w:p>
                  <w:pPr>
                    <w:pStyle w:val="5"/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/>
                    <w:ind w:left="0" w:right="0"/>
                    <w:rPr>
                      <w:rFonts w:hint="eastAsia"/>
                      <w:sz w:val="24"/>
                      <w:szCs w:val="24"/>
                      <w:vertAlign w:val="baseline"/>
                      <w:lang w:eastAsia="zh-CN"/>
                    </w:rPr>
                  </w:pPr>
                  <w:r>
                    <w:rPr>
                      <w:rFonts w:hint="eastAsia" w:eastAsia="宋体" w:cs="Times New Roman"/>
                      <w:bCs w:val="0"/>
                      <w:sz w:val="24"/>
                      <w:szCs w:val="24"/>
                      <w:lang w:val="en-US" w:eastAsia="zh-CN" w:bidi="ar"/>
                    </w:rPr>
                    <w:t>海油电投：0-5%</w:t>
                  </w:r>
                </w:p>
              </w:tc>
            </w:tr>
          </w:tbl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/>
                <w:lang w:eastAsia="zh-CN"/>
              </w:rPr>
            </w:pPr>
          </w:p>
        </w:tc>
      </w:tr>
    </w:tbl>
    <w:p>
      <w:pPr>
        <w:rPr>
          <w:rFonts w:hint="default" w:ascii="Times New Roman" w:hAnsi="Times New Roman" w:cs="Times New Roman" w:eastAsiaTheme="minorEastAsia"/>
        </w:rPr>
      </w:pPr>
    </w:p>
    <w:sectPr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2000000000000000000"/>
    <w:charset w:val="86"/>
    <w:family w:val="script"/>
    <w:pitch w:val="default"/>
    <w:sig w:usb0="A00002BF" w:usb1="184F6CFA" w:usb2="00000012" w:usb3="00000000" w:csb0="00040001" w:csb1="00000000"/>
  </w:font>
  <w:font w:name="Simplified Arabic">
    <w:altName w:val="Arial"/>
    <w:panose1 w:val="02020603050405020304"/>
    <w:charset w:val="B2"/>
    <w:family w:val="roman"/>
    <w:pitch w:val="default"/>
    <w:sig w:usb0="00000000" w:usb1="00000000" w:usb2="00000000" w:usb3="00000000" w:csb0="00000041" w:csb1="2008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微软雅黑">
    <w:altName w:val="黑体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false"/>
  <w:bordersDoNotSurroundFooter w:val="fals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NmMTI0ODhhNzFmMGU3MTZhMTA0ODYxYzI1N2YwYjIifQ=="/>
  </w:docVars>
  <w:rsids>
    <w:rsidRoot w:val="511505E7"/>
    <w:rsid w:val="00042BDD"/>
    <w:rsid w:val="0007692D"/>
    <w:rsid w:val="00087338"/>
    <w:rsid w:val="00114814"/>
    <w:rsid w:val="001B50F2"/>
    <w:rsid w:val="001C6148"/>
    <w:rsid w:val="001F1C3C"/>
    <w:rsid w:val="0022179C"/>
    <w:rsid w:val="00221FCA"/>
    <w:rsid w:val="00244DF9"/>
    <w:rsid w:val="00284710"/>
    <w:rsid w:val="00332EAC"/>
    <w:rsid w:val="00346B84"/>
    <w:rsid w:val="00367A54"/>
    <w:rsid w:val="004C4C54"/>
    <w:rsid w:val="00500F51"/>
    <w:rsid w:val="00504BEC"/>
    <w:rsid w:val="00507863"/>
    <w:rsid w:val="005C4EFC"/>
    <w:rsid w:val="0062408E"/>
    <w:rsid w:val="00627CE6"/>
    <w:rsid w:val="00646E32"/>
    <w:rsid w:val="006A20C6"/>
    <w:rsid w:val="006C3B44"/>
    <w:rsid w:val="00707821"/>
    <w:rsid w:val="0072474D"/>
    <w:rsid w:val="00734F51"/>
    <w:rsid w:val="007D63FA"/>
    <w:rsid w:val="007F706B"/>
    <w:rsid w:val="00816711"/>
    <w:rsid w:val="00826195"/>
    <w:rsid w:val="008472A3"/>
    <w:rsid w:val="00876497"/>
    <w:rsid w:val="009040AD"/>
    <w:rsid w:val="00934D60"/>
    <w:rsid w:val="00A73286"/>
    <w:rsid w:val="00B45330"/>
    <w:rsid w:val="00B93533"/>
    <w:rsid w:val="00BC4863"/>
    <w:rsid w:val="00BD3FB4"/>
    <w:rsid w:val="00BE051D"/>
    <w:rsid w:val="00C046B3"/>
    <w:rsid w:val="00D11F6E"/>
    <w:rsid w:val="00D14CED"/>
    <w:rsid w:val="00E40607"/>
    <w:rsid w:val="00E4263C"/>
    <w:rsid w:val="00E466FD"/>
    <w:rsid w:val="00F63099"/>
    <w:rsid w:val="00F7053E"/>
    <w:rsid w:val="00F90810"/>
    <w:rsid w:val="00FD5EA5"/>
    <w:rsid w:val="00FF42DD"/>
    <w:rsid w:val="011DF4EB"/>
    <w:rsid w:val="01B165CE"/>
    <w:rsid w:val="0217304F"/>
    <w:rsid w:val="02515359"/>
    <w:rsid w:val="030806B1"/>
    <w:rsid w:val="03490091"/>
    <w:rsid w:val="03D70EC9"/>
    <w:rsid w:val="04B425C4"/>
    <w:rsid w:val="04B85AFF"/>
    <w:rsid w:val="05AB50DB"/>
    <w:rsid w:val="06075F29"/>
    <w:rsid w:val="072729B8"/>
    <w:rsid w:val="07D6476B"/>
    <w:rsid w:val="087232C3"/>
    <w:rsid w:val="08D6542E"/>
    <w:rsid w:val="08ED34FD"/>
    <w:rsid w:val="093446A7"/>
    <w:rsid w:val="0AF22185"/>
    <w:rsid w:val="0B1835C3"/>
    <w:rsid w:val="0B63273E"/>
    <w:rsid w:val="0BD91CE7"/>
    <w:rsid w:val="0C6B60D7"/>
    <w:rsid w:val="0DE526A7"/>
    <w:rsid w:val="0E5C7E9D"/>
    <w:rsid w:val="0EEC791B"/>
    <w:rsid w:val="0F272A69"/>
    <w:rsid w:val="0FA436B7"/>
    <w:rsid w:val="0FBBC6D8"/>
    <w:rsid w:val="10C02711"/>
    <w:rsid w:val="12ED74AA"/>
    <w:rsid w:val="130B6D76"/>
    <w:rsid w:val="13236AF1"/>
    <w:rsid w:val="13D6674E"/>
    <w:rsid w:val="150C1E94"/>
    <w:rsid w:val="15D94F21"/>
    <w:rsid w:val="15E47716"/>
    <w:rsid w:val="1680064E"/>
    <w:rsid w:val="17436509"/>
    <w:rsid w:val="1AA11230"/>
    <w:rsid w:val="1B2D6269"/>
    <w:rsid w:val="1BF9394B"/>
    <w:rsid w:val="1BF9AB71"/>
    <w:rsid w:val="1C361957"/>
    <w:rsid w:val="1DA24124"/>
    <w:rsid w:val="1DDF30D0"/>
    <w:rsid w:val="1DFE30C6"/>
    <w:rsid w:val="1FC81833"/>
    <w:rsid w:val="20C2797E"/>
    <w:rsid w:val="215B059A"/>
    <w:rsid w:val="24606B41"/>
    <w:rsid w:val="246736EB"/>
    <w:rsid w:val="24840815"/>
    <w:rsid w:val="25C17900"/>
    <w:rsid w:val="25FB871C"/>
    <w:rsid w:val="261144B9"/>
    <w:rsid w:val="26DB81B4"/>
    <w:rsid w:val="27B435B3"/>
    <w:rsid w:val="27ED6C10"/>
    <w:rsid w:val="281C288D"/>
    <w:rsid w:val="289A6D28"/>
    <w:rsid w:val="2B795B9C"/>
    <w:rsid w:val="2C0C7CCC"/>
    <w:rsid w:val="2CAC25FF"/>
    <w:rsid w:val="2DFF8C0F"/>
    <w:rsid w:val="2ECF569F"/>
    <w:rsid w:val="2F0902B7"/>
    <w:rsid w:val="3025112D"/>
    <w:rsid w:val="319E78FD"/>
    <w:rsid w:val="32BB6BDF"/>
    <w:rsid w:val="339B1A7D"/>
    <w:rsid w:val="34527864"/>
    <w:rsid w:val="356065C1"/>
    <w:rsid w:val="35741F7B"/>
    <w:rsid w:val="35927D49"/>
    <w:rsid w:val="36647739"/>
    <w:rsid w:val="36722108"/>
    <w:rsid w:val="37736187"/>
    <w:rsid w:val="37EC4B4C"/>
    <w:rsid w:val="39FF89E3"/>
    <w:rsid w:val="3A77F1F8"/>
    <w:rsid w:val="3A7D25F4"/>
    <w:rsid w:val="3B6C128B"/>
    <w:rsid w:val="3BF42FA2"/>
    <w:rsid w:val="3C1B3849"/>
    <w:rsid w:val="3C7CED31"/>
    <w:rsid w:val="3DBE0E38"/>
    <w:rsid w:val="3DCF2C73"/>
    <w:rsid w:val="3E3B322A"/>
    <w:rsid w:val="3EB7365E"/>
    <w:rsid w:val="3EBE2D3F"/>
    <w:rsid w:val="3ED7D01C"/>
    <w:rsid w:val="3EE73D98"/>
    <w:rsid w:val="3FE5DC13"/>
    <w:rsid w:val="3FFFF7A9"/>
    <w:rsid w:val="40D7777E"/>
    <w:rsid w:val="41D779C0"/>
    <w:rsid w:val="436E421B"/>
    <w:rsid w:val="437DEE42"/>
    <w:rsid w:val="43E353FE"/>
    <w:rsid w:val="45E92E66"/>
    <w:rsid w:val="46845245"/>
    <w:rsid w:val="46F216C3"/>
    <w:rsid w:val="48567BBA"/>
    <w:rsid w:val="48604985"/>
    <w:rsid w:val="48C332AF"/>
    <w:rsid w:val="49857111"/>
    <w:rsid w:val="498A72A0"/>
    <w:rsid w:val="4C824703"/>
    <w:rsid w:val="4CC01CF8"/>
    <w:rsid w:val="4CFD75DE"/>
    <w:rsid w:val="4D533669"/>
    <w:rsid w:val="4D611881"/>
    <w:rsid w:val="4DB67BAD"/>
    <w:rsid w:val="4DBF710D"/>
    <w:rsid w:val="4E585190"/>
    <w:rsid w:val="4E626EA5"/>
    <w:rsid w:val="4E8F7977"/>
    <w:rsid w:val="4F7D0643"/>
    <w:rsid w:val="50CB3BDA"/>
    <w:rsid w:val="511505E7"/>
    <w:rsid w:val="5275657D"/>
    <w:rsid w:val="53701092"/>
    <w:rsid w:val="53DE53F7"/>
    <w:rsid w:val="549363D0"/>
    <w:rsid w:val="54D26C3D"/>
    <w:rsid w:val="54DD7AC9"/>
    <w:rsid w:val="55413F6A"/>
    <w:rsid w:val="558A3AEC"/>
    <w:rsid w:val="55FF4F39"/>
    <w:rsid w:val="563C0C84"/>
    <w:rsid w:val="567C47AD"/>
    <w:rsid w:val="568C7EFA"/>
    <w:rsid w:val="5721053D"/>
    <w:rsid w:val="5A320350"/>
    <w:rsid w:val="5A4E1134"/>
    <w:rsid w:val="5A8F5421"/>
    <w:rsid w:val="5AB377AC"/>
    <w:rsid w:val="5ADB7A9F"/>
    <w:rsid w:val="5BDF7AA8"/>
    <w:rsid w:val="5CC770F3"/>
    <w:rsid w:val="5DFF5221"/>
    <w:rsid w:val="5E606197"/>
    <w:rsid w:val="5E758AD3"/>
    <w:rsid w:val="5EFC973F"/>
    <w:rsid w:val="5EFFEB53"/>
    <w:rsid w:val="5F5B3889"/>
    <w:rsid w:val="5F7404E1"/>
    <w:rsid w:val="5FCF1EC8"/>
    <w:rsid w:val="5FDF128E"/>
    <w:rsid w:val="60B85CFA"/>
    <w:rsid w:val="61AC7C2D"/>
    <w:rsid w:val="61F32521"/>
    <w:rsid w:val="63F6661D"/>
    <w:rsid w:val="64F94FB6"/>
    <w:rsid w:val="64FF0119"/>
    <w:rsid w:val="650C61D5"/>
    <w:rsid w:val="65183212"/>
    <w:rsid w:val="65AC0421"/>
    <w:rsid w:val="67090219"/>
    <w:rsid w:val="6754015D"/>
    <w:rsid w:val="67885F66"/>
    <w:rsid w:val="67D469E8"/>
    <w:rsid w:val="685D233B"/>
    <w:rsid w:val="69C0748D"/>
    <w:rsid w:val="6A7D30C3"/>
    <w:rsid w:val="6A9AD85B"/>
    <w:rsid w:val="6B9261CD"/>
    <w:rsid w:val="6B9A71CB"/>
    <w:rsid w:val="6BCB1BF4"/>
    <w:rsid w:val="6BCC0CB3"/>
    <w:rsid w:val="6C45316D"/>
    <w:rsid w:val="6CBF87B4"/>
    <w:rsid w:val="6D3A6412"/>
    <w:rsid w:val="6DEFBAE0"/>
    <w:rsid w:val="6E372E5F"/>
    <w:rsid w:val="6E3FE820"/>
    <w:rsid w:val="6E786ABC"/>
    <w:rsid w:val="6F538C10"/>
    <w:rsid w:val="6FDF5799"/>
    <w:rsid w:val="710A7485"/>
    <w:rsid w:val="71394751"/>
    <w:rsid w:val="72131803"/>
    <w:rsid w:val="723024E6"/>
    <w:rsid w:val="73026B48"/>
    <w:rsid w:val="74566BED"/>
    <w:rsid w:val="74CE550B"/>
    <w:rsid w:val="767FE0B3"/>
    <w:rsid w:val="76AFBFF1"/>
    <w:rsid w:val="76B766E2"/>
    <w:rsid w:val="76CA40F3"/>
    <w:rsid w:val="77527FDF"/>
    <w:rsid w:val="77AFF4F6"/>
    <w:rsid w:val="77D2B5A7"/>
    <w:rsid w:val="77FFCFC3"/>
    <w:rsid w:val="78410251"/>
    <w:rsid w:val="793FB7A1"/>
    <w:rsid w:val="7A66B182"/>
    <w:rsid w:val="7A9C06E1"/>
    <w:rsid w:val="7AB61CB6"/>
    <w:rsid w:val="7AB91678"/>
    <w:rsid w:val="7B8F578C"/>
    <w:rsid w:val="7B9A66EF"/>
    <w:rsid w:val="7BE411F0"/>
    <w:rsid w:val="7BFFD823"/>
    <w:rsid w:val="7C7918BC"/>
    <w:rsid w:val="7D75E191"/>
    <w:rsid w:val="7EAFD06A"/>
    <w:rsid w:val="7EE72273"/>
    <w:rsid w:val="7EF7CDD2"/>
    <w:rsid w:val="7F7BEB9D"/>
    <w:rsid w:val="7F9D7702"/>
    <w:rsid w:val="7FBF2495"/>
    <w:rsid w:val="7FDCAB43"/>
    <w:rsid w:val="7FE91E78"/>
    <w:rsid w:val="7FFDE69B"/>
    <w:rsid w:val="9CBD0B1A"/>
    <w:rsid w:val="9DD7D21A"/>
    <w:rsid w:val="9EDF5802"/>
    <w:rsid w:val="A7F9C1DE"/>
    <w:rsid w:val="ADFAC79E"/>
    <w:rsid w:val="AF7F87AF"/>
    <w:rsid w:val="B593FB7D"/>
    <w:rsid w:val="B773E742"/>
    <w:rsid w:val="B7BD225A"/>
    <w:rsid w:val="B9B92832"/>
    <w:rsid w:val="BCB7048F"/>
    <w:rsid w:val="BEAF73DD"/>
    <w:rsid w:val="BF8E36EE"/>
    <w:rsid w:val="BFDFB85E"/>
    <w:rsid w:val="BFF739EC"/>
    <w:rsid w:val="C3F5BA26"/>
    <w:rsid w:val="D5DB8D8A"/>
    <w:rsid w:val="DDEFBA43"/>
    <w:rsid w:val="DEAFB90F"/>
    <w:rsid w:val="DF21B821"/>
    <w:rsid w:val="DFD76A11"/>
    <w:rsid w:val="E9F71F09"/>
    <w:rsid w:val="EAFD8D58"/>
    <w:rsid w:val="EB6C770B"/>
    <w:rsid w:val="EBCD181E"/>
    <w:rsid w:val="EFFFDD70"/>
    <w:rsid w:val="F1B778F1"/>
    <w:rsid w:val="F3FF743F"/>
    <w:rsid w:val="F4FF55F7"/>
    <w:rsid w:val="F79D44CD"/>
    <w:rsid w:val="F7FD911C"/>
    <w:rsid w:val="F9DF2CA6"/>
    <w:rsid w:val="FADD6E63"/>
    <w:rsid w:val="FB3326CC"/>
    <w:rsid w:val="FBCE4D19"/>
    <w:rsid w:val="FBFFBC9C"/>
    <w:rsid w:val="FDBF10AA"/>
    <w:rsid w:val="FEB71639"/>
    <w:rsid w:val="FFBA202E"/>
    <w:rsid w:val="FFBC3961"/>
    <w:rsid w:val="FFFEC311"/>
    <w:rsid w:val="FFFFC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99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qFormat/>
    <w:uiPriority w:val="9"/>
    <w:pPr>
      <w:spacing w:after="156" w:afterLines="50" w:line="640" w:lineRule="exact"/>
      <w:outlineLvl w:val="0"/>
    </w:pPr>
    <w:rPr>
      <w:rFonts w:ascii="方正小标宋简体" w:eastAsia="方正小标宋简体"/>
      <w:sz w:val="44"/>
      <w:szCs w:val="36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next w:val="1"/>
    <w:qFormat/>
    <w:uiPriority w:val="99"/>
  </w:style>
  <w:style w:type="paragraph" w:styleId="4">
    <w:name w:val="annotation text"/>
    <w:basedOn w:val="1"/>
    <w:qFormat/>
    <w:uiPriority w:val="0"/>
    <w:pPr>
      <w:jc w:val="left"/>
    </w:pPr>
  </w:style>
  <w:style w:type="paragraph" w:styleId="5">
    <w:name w:val="Body Text"/>
    <w:basedOn w:val="1"/>
    <w:next w:val="6"/>
    <w:link w:val="19"/>
    <w:unhideWhenUsed/>
    <w:qFormat/>
    <w:uiPriority w:val="99"/>
    <w:pPr>
      <w:spacing w:after="120"/>
    </w:pPr>
  </w:style>
  <w:style w:type="paragraph" w:styleId="6">
    <w:name w:val="Body Text First Indent"/>
    <w:qFormat/>
    <w:uiPriority w:val="0"/>
    <w:pPr>
      <w:keepNext w:val="0"/>
      <w:keepLines w:val="0"/>
      <w:widowControl w:val="0"/>
      <w:suppressLineNumbers w:val="0"/>
      <w:spacing w:after="120" w:afterAutospacing="0"/>
      <w:ind w:firstLine="420" w:firstLineChars="100"/>
      <w:jc w:val="both"/>
    </w:pPr>
    <w:rPr>
      <w:rFonts w:hint="default" w:ascii="Times New Roman" w:hAnsi="Times New Roman" w:eastAsia="宋体" w:cs="Times New Roman"/>
      <w:kern w:val="2"/>
      <w:sz w:val="21"/>
      <w:szCs w:val="21"/>
      <w:lang w:val="en-US" w:eastAsia="zh-CN" w:bidi="ar"/>
    </w:rPr>
  </w:style>
  <w:style w:type="paragraph" w:styleId="7">
    <w:name w:val="footer"/>
    <w:basedOn w:val="1"/>
    <w:link w:val="1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2"/>
    <w:basedOn w:val="1"/>
    <w:next w:val="1"/>
    <w:qFormat/>
    <w:uiPriority w:val="0"/>
    <w:pPr>
      <w:ind w:left="420" w:leftChars="200"/>
    </w:pPr>
    <w:rPr>
      <w:rFonts w:ascii="Times New Roman" w:hAnsi="Times New Roman" w:eastAsia="宋体"/>
      <w:sz w:val="30"/>
    </w:rPr>
  </w:style>
  <w:style w:type="paragraph" w:styleId="10">
    <w:name w:val="Normal (Web)"/>
    <w:basedOn w:val="1"/>
    <w:qFormat/>
    <w:uiPriority w:val="0"/>
    <w:rPr>
      <w:sz w:val="24"/>
    </w:rPr>
  </w:style>
  <w:style w:type="table" w:styleId="12">
    <w:name w:val="Table Grid"/>
    <w:basedOn w:val="11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4">
    <w:name w:val="page number"/>
    <w:qFormat/>
    <w:uiPriority w:val="0"/>
    <w:rPr>
      <w:rFonts w:ascii="Times New Roman" w:hAnsi="Times New Roman" w:eastAsia="宋体" w:cs="Simplified Arabic"/>
      <w:sz w:val="24"/>
      <w:szCs w:val="24"/>
      <w:lang w:val="en-GB" w:bidi="ar-AE"/>
    </w:rPr>
  </w:style>
  <w:style w:type="paragraph" w:customStyle="1" w:styleId="15">
    <w:name w:val="名称2"/>
    <w:basedOn w:val="16"/>
    <w:qFormat/>
    <w:uiPriority w:val="0"/>
    <w:pPr>
      <w:spacing w:after="312" w:afterLines="100"/>
    </w:pPr>
    <w:rPr>
      <w:b w:val="0"/>
      <w:sz w:val="20"/>
    </w:rPr>
  </w:style>
  <w:style w:type="paragraph" w:customStyle="1" w:styleId="16">
    <w:name w:val="名称"/>
    <w:basedOn w:val="1"/>
    <w:qFormat/>
    <w:uiPriority w:val="0"/>
    <w:pPr>
      <w:jc w:val="center"/>
    </w:pPr>
    <w:rPr>
      <w:b/>
      <w:kern w:val="0"/>
      <w:sz w:val="44"/>
      <w:szCs w:val="20"/>
    </w:rPr>
  </w:style>
  <w:style w:type="character" w:customStyle="1" w:styleId="17">
    <w:name w:val="页眉 字符"/>
    <w:basedOn w:val="13"/>
    <w:link w:val="8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8">
    <w:name w:val="页脚 字符"/>
    <w:basedOn w:val="13"/>
    <w:link w:val="7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9">
    <w:name w:val="正文文本 字符"/>
    <w:basedOn w:val="13"/>
    <w:link w:val="5"/>
    <w:qFormat/>
    <w:uiPriority w:val="99"/>
    <w:rPr>
      <w:rFonts w:ascii="Times New Roman" w:hAnsi="Times New Roman" w:eastAsia="宋体" w:cs="Times New Roman"/>
      <w:kern w:val="2"/>
      <w:sz w:val="21"/>
      <w:szCs w:val="24"/>
    </w:rPr>
  </w:style>
  <w:style w:type="paragraph" w:styleId="20">
    <w:name w:val="List Paragraph"/>
    <w:basedOn w:val="1"/>
    <w:qFormat/>
    <w:uiPriority w:val="99"/>
    <w:pPr>
      <w:ind w:firstLine="420" w:firstLineChars="200"/>
    </w:pPr>
  </w:style>
  <w:style w:type="paragraph" w:customStyle="1" w:styleId="21">
    <w:name w:val="Footer Right"/>
    <w:basedOn w:val="7"/>
    <w:qFormat/>
    <w:uiPriority w:val="0"/>
    <w:pPr>
      <w:jc w:val="right"/>
    </w:pPr>
  </w:style>
  <w:style w:type="paragraph" w:customStyle="1" w:styleId="22">
    <w:name w:val="KWMCN-标准"/>
    <w:qFormat/>
    <w:uiPriority w:val="0"/>
    <w:pPr>
      <w:adjustRightInd w:val="0"/>
      <w:snapToGrid w:val="0"/>
      <w:spacing w:after="360" w:line="320" w:lineRule="atLeast"/>
      <w:jc w:val="both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23">
    <w:name w:val="Table Paragraph"/>
    <w:basedOn w:val="1"/>
    <w:qFormat/>
    <w:uiPriority w:val="1"/>
    <w:pPr>
      <w:widowControl w:val="0"/>
      <w:autoSpaceDE w:val="0"/>
      <w:autoSpaceDN w:val="0"/>
      <w:spacing w:after="0"/>
      <w:jc w:val="left"/>
    </w:pPr>
    <w:rPr>
      <w:rFonts w:ascii="微软雅黑" w:hAnsi="微软雅黑" w:eastAsia="微软雅黑" w:cs="微软雅黑"/>
      <w:sz w:val="22"/>
      <w:szCs w:val="22"/>
      <w:lang w:val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其他省直机关单位</Company>
  <Pages>1</Pages>
  <Words>1707</Words>
  <Characters>1813</Characters>
  <Lines>1</Lines>
  <Paragraphs>1</Paragraphs>
  <TotalTime>27</TotalTime>
  <ScaleCrop>false</ScaleCrop>
  <LinksUpToDate>false</LinksUpToDate>
  <CharactersWithSpaces>1998</CharactersWithSpaces>
  <Application>WPS Office_11.8.2.10125_F1E327BC-269C-435d-A152-05C5408002CA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2023-03-03T01:34:00Z</dcterms:created>
  <dc:creator>张斌（反垄断处）</dc:creator>
  <cp:lastModifiedBy>scj</cp:lastModifiedBy>
  <cp:lastPrinted>2024-08-05T09:27:00Z</cp:lastPrinted>
  <dcterms:modified xsi:type="dcterms:W3CDTF">2024-12-13T09:23:17Z</dcterms:modified>
  <dc:title>关于经营者集中反垄断审查案件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2052-11.8.2.10125</vt:lpwstr>
  </property>
  <property fmtid="{D5CDD505-2E9C-101B-9397-08002B2CF9AE}" pid="3" name="ICV">
    <vt:lpwstr>2F510BCF826C43248232D30198221AB7</vt:lpwstr>
  </property>
</Properties>
</file>