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pPr w:leftFromText="180" w:rightFromText="180" w:vertAnchor="page" w:horzAnchor="page" w:tblpX="1991" w:tblpY="2320"/>
        <w:tblOverlap w:val="never"/>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rPr>
                <w:rFonts w:hint="eastAsia" w:ascii="宋体" w:hAnsi="宋体" w:cs="宋体"/>
                <w:color w:val="333333"/>
                <w:kern w:val="0"/>
                <w:sz w:val="24"/>
                <w:szCs w:val="24"/>
              </w:rPr>
            </w:pPr>
            <w:bookmarkStart w:id="1" w:name="_GoBack"/>
            <w:bookmarkEnd w:id="1"/>
            <w:bookmarkStart w:id="0" w:name="OLE_LINK16"/>
            <w:r>
              <w:rPr>
                <w:rFonts w:hint="eastAsia" w:ascii="宋体" w:hAnsi="宋体" w:cs="宋体"/>
                <w:color w:val="333333"/>
                <w:kern w:val="0"/>
                <w:sz w:val="24"/>
                <w:szCs w:val="24"/>
              </w:rPr>
              <w:t>案件名称</w:t>
            </w:r>
          </w:p>
        </w:tc>
        <w:tc>
          <w:tcPr>
            <w:tcW w:w="6949" w:type="dxa"/>
            <w:gridSpan w:val="2"/>
          </w:tcPr>
          <w:p>
            <w:pPr>
              <w:rPr>
                <w:rFonts w:hint="eastAsia" w:ascii="宋体" w:hAnsi="宋体" w:cs="宋体"/>
                <w:color w:val="333333"/>
                <w:kern w:val="0"/>
                <w:sz w:val="24"/>
                <w:szCs w:val="24"/>
              </w:rPr>
            </w:pPr>
            <w:r>
              <w:rPr>
                <w:rFonts w:hint="eastAsia" w:ascii="宋体" w:hAnsi="宋体" w:cs="宋体"/>
                <w:color w:val="333333"/>
                <w:kern w:val="0"/>
                <w:sz w:val="24"/>
                <w:szCs w:val="24"/>
              </w:rPr>
              <w:t>交银资本管理有限公司与武汉武创资本私募股权投资基金管理有限公司新设合营企业案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809" w:type="dxa"/>
            <w:shd w:val="clear" w:color="auto" w:fill="D9D9D9"/>
            <w:vAlign w:val="center"/>
          </w:tcPr>
          <w:p>
            <w:pPr>
              <w:rPr>
                <w:rFonts w:hint="eastAsia" w:ascii="宋体" w:hAnsi="宋体" w:cs="宋体"/>
                <w:color w:val="333333"/>
                <w:kern w:val="0"/>
                <w:sz w:val="24"/>
                <w:szCs w:val="24"/>
              </w:rPr>
            </w:pPr>
            <w:r>
              <w:rPr>
                <w:rFonts w:hint="eastAsia" w:ascii="宋体" w:hAnsi="宋体" w:cs="宋体"/>
                <w:color w:val="333333"/>
                <w:kern w:val="0"/>
                <w:sz w:val="24"/>
                <w:szCs w:val="24"/>
              </w:rPr>
              <w:t>交易概况</w:t>
            </w:r>
          </w:p>
        </w:tc>
        <w:tc>
          <w:tcPr>
            <w:tcW w:w="6949" w:type="dxa"/>
            <w:gridSpan w:val="2"/>
          </w:tcPr>
          <w:p>
            <w:pPr>
              <w:rPr>
                <w:rFonts w:hint="eastAsia" w:ascii="宋体" w:hAnsi="宋体" w:cs="宋体"/>
                <w:color w:val="333333"/>
                <w:kern w:val="0"/>
                <w:sz w:val="24"/>
                <w:szCs w:val="24"/>
              </w:rPr>
            </w:pPr>
            <w:r>
              <w:rPr>
                <w:rFonts w:hint="eastAsia" w:ascii="宋体" w:hAnsi="宋体" w:cs="宋体"/>
                <w:color w:val="333333"/>
                <w:kern w:val="0"/>
                <w:sz w:val="24"/>
                <w:szCs w:val="24"/>
              </w:rPr>
              <w:t>交银资本管理有限公司（“交银资本”）、武汉武创资本私募股权投资基金管理有限公司（“武创资本”）及其他有限合伙人签署协议，新设合营企业“武汉交融武创新动能产业投资基金合伙企业（有限合伙）”（暂定名）。普通合伙人交银资本出资比例为1%；普通合伙人武创资本出资比例为1%，其他有限合伙人持股98%。新设合营企业由普通合伙人交银资本及武创资本共同控制。</w:t>
            </w:r>
          </w:p>
          <w:p>
            <w:pPr>
              <w:rPr>
                <w:rFonts w:hint="eastAsia" w:ascii="宋体" w:hAnsi="宋体" w:cs="宋体"/>
                <w:color w:val="333333"/>
                <w:kern w:val="0"/>
                <w:sz w:val="24"/>
                <w:szCs w:val="24"/>
              </w:rPr>
            </w:pPr>
            <w:r>
              <w:rPr>
                <w:rFonts w:hint="eastAsia" w:ascii="宋体" w:hAnsi="宋体" w:cs="宋体"/>
                <w:color w:val="333333"/>
                <w:kern w:val="0"/>
                <w:sz w:val="24"/>
                <w:szCs w:val="24"/>
              </w:rPr>
              <w:t>新设合营企业拟从事私募基金从事股权投资、投资管理、资产管理等业务。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09" w:type="dxa"/>
            <w:vMerge w:val="restart"/>
            <w:shd w:val="clear" w:color="auto" w:fill="D9D9D9"/>
            <w:vAlign w:val="center"/>
          </w:tcPr>
          <w:p>
            <w:pPr>
              <w:rPr>
                <w:rFonts w:hint="eastAsia" w:ascii="宋体" w:hAnsi="宋体" w:cs="宋体"/>
                <w:color w:val="333333"/>
                <w:kern w:val="0"/>
                <w:sz w:val="24"/>
                <w:szCs w:val="24"/>
              </w:rPr>
            </w:pPr>
            <w:r>
              <w:rPr>
                <w:rFonts w:hint="eastAsia" w:ascii="宋体" w:hAnsi="宋体" w:cs="宋体"/>
                <w:color w:val="333333"/>
                <w:kern w:val="0"/>
                <w:sz w:val="24"/>
                <w:szCs w:val="24"/>
              </w:rPr>
              <w:t>参与集中的经营者简介</w:t>
            </w:r>
          </w:p>
        </w:tc>
        <w:tc>
          <w:tcPr>
            <w:tcW w:w="1796" w:type="dxa"/>
            <w:vAlign w:val="center"/>
          </w:tcPr>
          <w:p>
            <w:pPr>
              <w:rPr>
                <w:rFonts w:hint="eastAsia" w:ascii="宋体" w:hAnsi="宋体" w:cs="宋体"/>
                <w:color w:val="333333"/>
                <w:kern w:val="0"/>
                <w:sz w:val="24"/>
                <w:szCs w:val="24"/>
              </w:rPr>
            </w:pPr>
            <w:r>
              <w:rPr>
                <w:rFonts w:hint="eastAsia" w:ascii="宋体" w:hAnsi="宋体" w:cs="宋体"/>
                <w:color w:val="333333"/>
                <w:kern w:val="0"/>
                <w:sz w:val="24"/>
                <w:szCs w:val="24"/>
              </w:rPr>
              <w:t>1、交银资本管理有限公司</w:t>
            </w:r>
          </w:p>
        </w:tc>
        <w:tc>
          <w:tcPr>
            <w:tcW w:w="5153" w:type="dxa"/>
          </w:tcPr>
          <w:p>
            <w:pPr>
              <w:rPr>
                <w:rFonts w:hint="eastAsia" w:ascii="宋体" w:hAnsi="宋体" w:cs="宋体"/>
                <w:color w:val="333333"/>
                <w:kern w:val="0"/>
                <w:sz w:val="24"/>
                <w:szCs w:val="24"/>
              </w:rPr>
            </w:pPr>
            <w:r>
              <w:rPr>
                <w:rFonts w:hint="eastAsia" w:ascii="宋体" w:hAnsi="宋体" w:cs="宋体"/>
                <w:color w:val="333333"/>
                <w:kern w:val="0"/>
                <w:sz w:val="24"/>
                <w:szCs w:val="24"/>
              </w:rPr>
              <w:t>交银资本管理有限公司于2018年12月29日成立于上海市黄浦区，主要业务为私募股权投资基金管理、创业投资基金管理服务等。</w:t>
            </w:r>
          </w:p>
          <w:p>
            <w:pPr>
              <w:rPr>
                <w:rFonts w:hint="eastAsia" w:ascii="宋体" w:hAnsi="宋体" w:cs="宋体"/>
                <w:color w:val="333333"/>
                <w:kern w:val="0"/>
                <w:sz w:val="24"/>
                <w:szCs w:val="24"/>
              </w:rPr>
            </w:pPr>
            <w:r>
              <w:rPr>
                <w:rFonts w:hint="eastAsia" w:ascii="宋体" w:hAnsi="宋体" w:cs="宋体"/>
                <w:color w:val="333333"/>
                <w:kern w:val="0"/>
                <w:sz w:val="24"/>
                <w:szCs w:val="24"/>
              </w:rPr>
              <w:t>交银资本管理有限公司最终控制人为交通银行股份有限公司，主要业务包括存贷款、产业链金融、现金管理、国际结算与贸易融资、投资银行、资产托管、财富管理、银行卡、私人银行、资金业务等。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rPr>
                <w:rFonts w:hint="eastAsia" w:ascii="宋体" w:hAnsi="宋体" w:cs="宋体"/>
                <w:color w:val="333333"/>
                <w:kern w:val="0"/>
                <w:sz w:val="24"/>
                <w:szCs w:val="24"/>
              </w:rPr>
            </w:pPr>
          </w:p>
        </w:tc>
        <w:tc>
          <w:tcPr>
            <w:tcW w:w="1796" w:type="dxa"/>
          </w:tcPr>
          <w:p>
            <w:pPr>
              <w:rPr>
                <w:rFonts w:hint="eastAsia" w:ascii="宋体" w:hAnsi="宋体" w:cs="宋体"/>
                <w:color w:val="333333"/>
                <w:kern w:val="0"/>
                <w:sz w:val="24"/>
                <w:szCs w:val="24"/>
              </w:rPr>
            </w:pPr>
            <w:r>
              <w:rPr>
                <w:rFonts w:hint="eastAsia" w:ascii="宋体" w:hAnsi="宋体" w:cs="宋体"/>
                <w:color w:val="333333"/>
                <w:kern w:val="0"/>
                <w:sz w:val="24"/>
                <w:szCs w:val="24"/>
              </w:rPr>
              <w:t>2、武汉武创资本私募股权投资基金管理有限公司</w:t>
            </w:r>
          </w:p>
        </w:tc>
        <w:tc>
          <w:tcPr>
            <w:tcW w:w="5153" w:type="dxa"/>
          </w:tcPr>
          <w:p>
            <w:pPr>
              <w:rPr>
                <w:rFonts w:hint="eastAsia" w:ascii="宋体" w:hAnsi="宋体" w:cs="宋体"/>
                <w:color w:val="333333"/>
                <w:kern w:val="0"/>
                <w:sz w:val="24"/>
                <w:szCs w:val="24"/>
              </w:rPr>
            </w:pPr>
            <w:r>
              <w:rPr>
                <w:rFonts w:hint="eastAsia" w:ascii="宋体" w:hAnsi="宋体" w:cs="宋体"/>
                <w:color w:val="333333"/>
                <w:kern w:val="0"/>
                <w:sz w:val="24"/>
                <w:szCs w:val="24"/>
              </w:rPr>
              <w:t>武创资本于2015年10月30日成立于湖北省武汉市江岸区，主要业务为私募股权投资基金管理、创业投资基金管理服务等。</w:t>
            </w:r>
          </w:p>
          <w:p>
            <w:pPr>
              <w:rPr>
                <w:rFonts w:hint="eastAsia" w:ascii="宋体" w:hAnsi="宋体" w:cs="宋体"/>
                <w:color w:val="333333"/>
                <w:kern w:val="0"/>
                <w:sz w:val="24"/>
                <w:szCs w:val="24"/>
              </w:rPr>
            </w:pPr>
            <w:r>
              <w:rPr>
                <w:rFonts w:hint="eastAsia" w:ascii="宋体" w:hAnsi="宋体" w:cs="宋体"/>
                <w:color w:val="333333"/>
                <w:kern w:val="0"/>
                <w:sz w:val="24"/>
                <w:szCs w:val="24"/>
              </w:rPr>
              <w:t>武创资本最终控制人为武汉产业投资控股集团有限公司，主要业务为产业投资,股权投资、投资管理。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809" w:type="dxa"/>
            <w:vMerge w:val="restart"/>
            <w:shd w:val="clear" w:color="auto" w:fill="D9D9D9"/>
            <w:vAlign w:val="center"/>
          </w:tcPr>
          <w:p>
            <w:pPr>
              <w:rPr>
                <w:rFonts w:hint="eastAsia" w:ascii="宋体" w:hAnsi="宋体" w:cs="宋体"/>
                <w:color w:val="333333"/>
                <w:kern w:val="0"/>
                <w:sz w:val="24"/>
                <w:szCs w:val="24"/>
              </w:rPr>
            </w:pPr>
            <w:r>
              <w:rPr>
                <w:rFonts w:hint="eastAsia" w:ascii="宋体" w:hAnsi="宋体" w:cs="宋体"/>
                <w:color w:val="333333"/>
                <w:kern w:val="0"/>
                <w:sz w:val="24"/>
                <w:szCs w:val="24"/>
              </w:rPr>
              <w:t>简易案件理由（可以单选，也可以多选）</w:t>
            </w:r>
          </w:p>
        </w:tc>
        <w:tc>
          <w:tcPr>
            <w:tcW w:w="6949" w:type="dxa"/>
            <w:gridSpan w:val="2"/>
          </w:tcPr>
          <w:p>
            <w:pPr>
              <w:pStyle w:val="8"/>
              <w:numPr>
                <w:ilvl w:val="0"/>
                <w:numId w:val="1"/>
              </w:numPr>
              <w:ind w:left="0" w:firstLine="0" w:firstLineChars="0"/>
              <w:rPr>
                <w:rFonts w:hint="eastAsia" w:ascii="宋体" w:hAnsi="宋体" w:cs="宋体"/>
                <w:color w:val="333333"/>
                <w:kern w:val="0"/>
                <w:sz w:val="24"/>
                <w:szCs w:val="24"/>
              </w:rPr>
            </w:pPr>
            <w:r>
              <w:rPr>
                <w:rFonts w:hint="eastAsia" w:ascii="宋体" w:hAnsi="宋体" w:cs="宋体"/>
                <w:color w:val="333333"/>
                <w:kern w:val="0"/>
                <w:sz w:val="24"/>
                <w:szCs w:val="24"/>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809" w:type="dxa"/>
            <w:vMerge w:val="continue"/>
            <w:shd w:val="clear" w:color="auto" w:fill="D9D9D9"/>
            <w:vAlign w:val="center"/>
          </w:tcPr>
          <w:p>
            <w:pPr>
              <w:rPr>
                <w:rFonts w:hint="eastAsia" w:ascii="宋体" w:hAnsi="宋体" w:cs="宋体"/>
                <w:color w:val="333333"/>
                <w:kern w:val="0"/>
                <w:sz w:val="24"/>
                <w:szCs w:val="24"/>
              </w:rPr>
            </w:pPr>
          </w:p>
        </w:tc>
        <w:tc>
          <w:tcPr>
            <w:tcW w:w="6949" w:type="dxa"/>
            <w:gridSpan w:val="2"/>
          </w:tcPr>
          <w:p>
            <w:pPr>
              <w:pStyle w:val="8"/>
              <w:ind w:firstLine="0" w:firstLineChars="0"/>
              <w:rPr>
                <w:rFonts w:hint="eastAsia" w:ascii="宋体" w:hAnsi="宋体" w:cs="宋体"/>
                <w:color w:val="333333"/>
                <w:kern w:val="0"/>
                <w:sz w:val="24"/>
                <w:szCs w:val="24"/>
              </w:rPr>
            </w:pPr>
            <w:r>
              <w:rPr>
                <w:rFonts w:hint="eastAsia" w:ascii="宋体" w:hAnsi="宋体" w:cs="宋体"/>
                <w:color w:val="333333"/>
                <w:kern w:val="0"/>
                <w:sz w:val="24"/>
                <w:szCs w:val="24"/>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09" w:type="dxa"/>
            <w:vMerge w:val="continue"/>
            <w:shd w:val="clear" w:color="auto" w:fill="D9D9D9"/>
            <w:vAlign w:val="center"/>
          </w:tcPr>
          <w:p>
            <w:pPr>
              <w:rPr>
                <w:rFonts w:hint="eastAsia" w:ascii="宋体" w:hAnsi="宋体" w:cs="宋体"/>
                <w:color w:val="333333"/>
                <w:kern w:val="0"/>
                <w:sz w:val="24"/>
                <w:szCs w:val="24"/>
              </w:rPr>
            </w:pPr>
          </w:p>
        </w:tc>
        <w:tc>
          <w:tcPr>
            <w:tcW w:w="6949" w:type="dxa"/>
            <w:gridSpan w:val="2"/>
          </w:tcPr>
          <w:p>
            <w:pPr>
              <w:rPr>
                <w:rFonts w:hint="eastAsia" w:ascii="宋体" w:hAnsi="宋体" w:cs="宋体"/>
                <w:color w:val="333333"/>
                <w:kern w:val="0"/>
                <w:sz w:val="24"/>
                <w:szCs w:val="24"/>
              </w:rPr>
            </w:pPr>
            <w:r>
              <w:rPr>
                <w:rFonts w:hint="eastAsia" w:ascii="宋体" w:hAnsi="宋体" w:cs="宋体"/>
                <w:color w:val="333333"/>
                <w:kern w:val="0"/>
                <w:sz w:val="24"/>
                <w:szCs w:val="24"/>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809" w:type="dxa"/>
            <w:vMerge w:val="continue"/>
            <w:shd w:val="clear" w:color="auto" w:fill="D9D9D9"/>
            <w:vAlign w:val="center"/>
          </w:tcPr>
          <w:p>
            <w:pPr>
              <w:rPr>
                <w:rFonts w:hint="eastAsia" w:ascii="宋体" w:hAnsi="宋体" w:cs="宋体"/>
                <w:color w:val="333333"/>
                <w:kern w:val="0"/>
                <w:sz w:val="24"/>
                <w:szCs w:val="24"/>
              </w:rPr>
            </w:pPr>
          </w:p>
        </w:tc>
        <w:tc>
          <w:tcPr>
            <w:tcW w:w="6949" w:type="dxa"/>
            <w:gridSpan w:val="2"/>
          </w:tcPr>
          <w:p>
            <w:pPr>
              <w:rPr>
                <w:rFonts w:hint="eastAsia" w:ascii="宋体" w:hAnsi="宋体" w:cs="宋体"/>
                <w:color w:val="333333"/>
                <w:kern w:val="0"/>
                <w:sz w:val="24"/>
                <w:szCs w:val="24"/>
              </w:rPr>
            </w:pPr>
            <w:r>
              <w:rPr>
                <w:rFonts w:hint="eastAsia" w:ascii="宋体" w:hAnsi="宋体" w:cs="宋体"/>
                <w:color w:val="333333"/>
                <w:kern w:val="0"/>
                <w:sz w:val="24"/>
                <w:szCs w:val="24"/>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09" w:type="dxa"/>
            <w:vMerge w:val="continue"/>
            <w:shd w:val="clear" w:color="auto" w:fill="D9D9D9"/>
            <w:vAlign w:val="center"/>
          </w:tcPr>
          <w:p>
            <w:pPr>
              <w:rPr>
                <w:rFonts w:hint="eastAsia" w:ascii="宋体" w:hAnsi="宋体" w:cs="宋体"/>
                <w:color w:val="333333"/>
                <w:kern w:val="0"/>
                <w:sz w:val="24"/>
                <w:szCs w:val="24"/>
              </w:rPr>
            </w:pPr>
          </w:p>
        </w:tc>
        <w:tc>
          <w:tcPr>
            <w:tcW w:w="6949" w:type="dxa"/>
            <w:gridSpan w:val="2"/>
          </w:tcPr>
          <w:p>
            <w:pPr>
              <w:rPr>
                <w:rFonts w:hint="eastAsia" w:ascii="宋体" w:hAnsi="宋体" w:cs="宋体"/>
                <w:color w:val="333333"/>
                <w:kern w:val="0"/>
                <w:sz w:val="24"/>
                <w:szCs w:val="24"/>
              </w:rPr>
            </w:pPr>
            <w:r>
              <w:rPr>
                <w:rFonts w:hint="eastAsia" w:ascii="宋体" w:hAnsi="宋体" w:cs="宋体"/>
                <w:color w:val="333333"/>
                <w:kern w:val="0"/>
                <w:sz w:val="24"/>
                <w:szCs w:val="24"/>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09" w:type="dxa"/>
            <w:vMerge w:val="continue"/>
            <w:shd w:val="clear" w:color="auto" w:fill="D9D9D9"/>
            <w:vAlign w:val="center"/>
          </w:tcPr>
          <w:p>
            <w:pPr>
              <w:rPr>
                <w:rFonts w:hint="eastAsia" w:ascii="宋体" w:hAnsi="宋体" w:cs="宋体"/>
                <w:color w:val="333333"/>
                <w:kern w:val="0"/>
                <w:sz w:val="24"/>
                <w:szCs w:val="24"/>
              </w:rPr>
            </w:pPr>
          </w:p>
        </w:tc>
        <w:tc>
          <w:tcPr>
            <w:tcW w:w="6949" w:type="dxa"/>
            <w:gridSpan w:val="2"/>
          </w:tcPr>
          <w:p>
            <w:pPr>
              <w:rPr>
                <w:rFonts w:hint="eastAsia" w:ascii="宋体" w:hAnsi="宋体" w:cs="宋体"/>
                <w:color w:val="333333"/>
                <w:kern w:val="0"/>
                <w:sz w:val="24"/>
                <w:szCs w:val="24"/>
              </w:rPr>
            </w:pPr>
            <w:r>
              <w:rPr>
                <w:rFonts w:hint="eastAsia" w:ascii="宋体" w:hAnsi="宋体" w:cs="宋体"/>
                <w:color w:val="333333"/>
                <w:kern w:val="0"/>
                <w:sz w:val="24"/>
                <w:szCs w:val="24"/>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rPr>
                <w:rFonts w:hint="eastAsia" w:ascii="宋体" w:hAnsi="宋体" w:cs="宋体"/>
                <w:color w:val="333333"/>
                <w:kern w:val="0"/>
                <w:sz w:val="24"/>
                <w:szCs w:val="24"/>
              </w:rPr>
            </w:pPr>
            <w:r>
              <w:rPr>
                <w:rFonts w:hint="eastAsia" w:ascii="宋体" w:hAnsi="宋体" w:cs="宋体"/>
                <w:color w:val="333333"/>
                <w:kern w:val="0"/>
                <w:sz w:val="24"/>
                <w:szCs w:val="24"/>
              </w:rPr>
              <w:t>备注</w:t>
            </w:r>
          </w:p>
        </w:tc>
        <w:tc>
          <w:tcPr>
            <w:tcW w:w="6949" w:type="dxa"/>
            <w:gridSpan w:val="2"/>
          </w:tcPr>
          <w:p>
            <w:pPr>
              <w:rPr>
                <w:rFonts w:hint="eastAsia" w:ascii="宋体" w:hAnsi="宋体" w:cs="宋体"/>
                <w:b/>
                <w:bCs/>
                <w:color w:val="333333"/>
                <w:kern w:val="0"/>
                <w:sz w:val="24"/>
                <w:szCs w:val="24"/>
              </w:rPr>
            </w:pPr>
            <w:r>
              <w:rPr>
                <w:rFonts w:hint="eastAsia" w:ascii="宋体" w:hAnsi="宋体" w:cs="宋体"/>
                <w:b/>
                <w:bCs/>
                <w:color w:val="333333"/>
                <w:kern w:val="0"/>
                <w:sz w:val="24"/>
                <w:szCs w:val="24"/>
              </w:rPr>
              <w:t>横向重叠：</w:t>
            </w:r>
          </w:p>
          <w:p>
            <w:pPr>
              <w:rPr>
                <w:rFonts w:hint="eastAsia" w:ascii="宋体" w:hAnsi="宋体" w:cs="宋体"/>
                <w:color w:val="333333"/>
                <w:kern w:val="0"/>
                <w:sz w:val="24"/>
                <w:szCs w:val="24"/>
              </w:rPr>
            </w:pPr>
            <w:r>
              <w:rPr>
                <w:rFonts w:hint="eastAsia" w:ascii="宋体" w:hAnsi="宋体" w:cs="宋体"/>
                <w:color w:val="333333"/>
                <w:kern w:val="0"/>
                <w:sz w:val="24"/>
                <w:szCs w:val="24"/>
              </w:rPr>
              <w:t>2023年中国境内私募股权投资基金市场:</w:t>
            </w:r>
          </w:p>
          <w:p>
            <w:pPr>
              <w:rPr>
                <w:rFonts w:hint="eastAsia" w:ascii="宋体" w:hAnsi="宋体" w:cs="宋体"/>
                <w:color w:val="333333"/>
                <w:kern w:val="0"/>
                <w:sz w:val="24"/>
                <w:szCs w:val="24"/>
              </w:rPr>
            </w:pPr>
            <w:r>
              <w:rPr>
                <w:rFonts w:hint="eastAsia" w:ascii="宋体" w:hAnsi="宋体" w:cs="宋体"/>
                <w:color w:val="333333"/>
                <w:kern w:val="0"/>
                <w:sz w:val="24"/>
                <w:szCs w:val="24"/>
              </w:rPr>
              <w:t>交银资本：0-5%，武创资本: 0-5%，合营企业：预估0-5%；各方合计：0-5%。</w:t>
            </w:r>
          </w:p>
        </w:tc>
      </w:tr>
    </w:tbl>
    <w:p>
      <w:pPr>
        <w:spacing w:line="440" w:lineRule="exact"/>
        <w:jc w:val="center"/>
        <w:rPr>
          <w:rFonts w:ascii="黑体" w:hAnsi="Times New Roman" w:eastAsia="黑体"/>
          <w:sz w:val="36"/>
          <w:szCs w:val="36"/>
        </w:rPr>
      </w:pPr>
      <w:r>
        <w:rPr>
          <w:rFonts w:hint="eastAsia" w:ascii="黑体" w:hAnsi="Times New Roman" w:eastAsia="黑体"/>
          <w:sz w:val="36"/>
          <w:szCs w:val="36"/>
        </w:rPr>
        <w:t>经营者集中简易案件公示表</w:t>
      </w:r>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微软雅黑"/>
    <w:panose1 w:val="020F0502020204030204"/>
    <w:charset w:val="00"/>
    <w:family w:val="swiss"/>
    <w:pitch w:val="default"/>
    <w:sig w:usb0="00000000" w:usb1="00000000" w:usb2="00000001" w:usb3="00000000" w:csb0="0000019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DejaVu Sans">
    <w:panose1 w:val="020B0603030804020204"/>
    <w:charset w:val="00"/>
    <w:family w:val="auto"/>
    <w:pitch w:val="default"/>
    <w:sig w:usb0="E7006EFF" w:usb1="D200FDFF" w:usb2="0A246029" w:usb3="0400200C" w:csb0="600001FF" w:csb1="D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BCE59D2"/>
    <w:multiLevelType w:val="multilevel"/>
    <w:tmpl w:val="7BCE59D2"/>
    <w:lvl w:ilvl="0" w:tentative="0">
      <w:start w:val="1"/>
      <w:numFmt w:val="bullet"/>
      <w:suff w:val="space"/>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true"/>
  <w:bordersDoNotSurroundFooter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CB00DF"/>
    <w:rsid w:val="00037065"/>
    <w:rsid w:val="0004458E"/>
    <w:rsid w:val="000D7EBA"/>
    <w:rsid w:val="000F04A0"/>
    <w:rsid w:val="000F5B1B"/>
    <w:rsid w:val="001164CD"/>
    <w:rsid w:val="00155717"/>
    <w:rsid w:val="001671E9"/>
    <w:rsid w:val="0017140E"/>
    <w:rsid w:val="001837A3"/>
    <w:rsid w:val="00187F77"/>
    <w:rsid w:val="001D13BE"/>
    <w:rsid w:val="001D33A1"/>
    <w:rsid w:val="002A2585"/>
    <w:rsid w:val="002C0103"/>
    <w:rsid w:val="002C121C"/>
    <w:rsid w:val="002C35AB"/>
    <w:rsid w:val="00387C3E"/>
    <w:rsid w:val="003B4605"/>
    <w:rsid w:val="003C0AEB"/>
    <w:rsid w:val="004E19EE"/>
    <w:rsid w:val="004E7639"/>
    <w:rsid w:val="004F7688"/>
    <w:rsid w:val="00532224"/>
    <w:rsid w:val="005640E8"/>
    <w:rsid w:val="0057755F"/>
    <w:rsid w:val="00591BBD"/>
    <w:rsid w:val="006467D8"/>
    <w:rsid w:val="00653E9E"/>
    <w:rsid w:val="006A4342"/>
    <w:rsid w:val="006A531B"/>
    <w:rsid w:val="006E4DE9"/>
    <w:rsid w:val="006F36F0"/>
    <w:rsid w:val="006F5D53"/>
    <w:rsid w:val="006F7693"/>
    <w:rsid w:val="00710140"/>
    <w:rsid w:val="00717C3D"/>
    <w:rsid w:val="00743160"/>
    <w:rsid w:val="007732AC"/>
    <w:rsid w:val="007C2C3E"/>
    <w:rsid w:val="007D173F"/>
    <w:rsid w:val="007E4238"/>
    <w:rsid w:val="007F2275"/>
    <w:rsid w:val="0084553C"/>
    <w:rsid w:val="00915F0F"/>
    <w:rsid w:val="00927280"/>
    <w:rsid w:val="009532DF"/>
    <w:rsid w:val="00991165"/>
    <w:rsid w:val="00997019"/>
    <w:rsid w:val="009A5029"/>
    <w:rsid w:val="009D38D5"/>
    <w:rsid w:val="00A53F26"/>
    <w:rsid w:val="00AA0CC5"/>
    <w:rsid w:val="00AB5983"/>
    <w:rsid w:val="00AD29B9"/>
    <w:rsid w:val="00AD52DD"/>
    <w:rsid w:val="00B024ED"/>
    <w:rsid w:val="00B032C1"/>
    <w:rsid w:val="00B16AFE"/>
    <w:rsid w:val="00B270F0"/>
    <w:rsid w:val="00B65DD5"/>
    <w:rsid w:val="00B71AFB"/>
    <w:rsid w:val="00BD10B6"/>
    <w:rsid w:val="00C07076"/>
    <w:rsid w:val="00C82F79"/>
    <w:rsid w:val="00CB00DF"/>
    <w:rsid w:val="00D221B9"/>
    <w:rsid w:val="00D73C72"/>
    <w:rsid w:val="00DD05E7"/>
    <w:rsid w:val="00DD0AED"/>
    <w:rsid w:val="00E0592B"/>
    <w:rsid w:val="00E31738"/>
    <w:rsid w:val="00E86786"/>
    <w:rsid w:val="00ED2F80"/>
    <w:rsid w:val="00F0440E"/>
    <w:rsid w:val="00F11CE3"/>
    <w:rsid w:val="00F1624E"/>
    <w:rsid w:val="00F32F8A"/>
    <w:rsid w:val="00F810AA"/>
    <w:rsid w:val="00FB43EC"/>
    <w:rsid w:val="00FB6B40"/>
    <w:rsid w:val="00FC7B8B"/>
    <w:rsid w:val="7CCE076E"/>
    <w:rsid w:val="FFDF940A"/>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tabs>
        <w:tab w:val="center" w:pos="4153"/>
        <w:tab w:val="right" w:pos="8306"/>
      </w:tabs>
      <w:snapToGrid w:val="0"/>
      <w:jc w:val="center"/>
    </w:pPr>
    <w:rPr>
      <w:sz w:val="18"/>
      <w:szCs w:val="18"/>
    </w:rPr>
  </w:style>
  <w:style w:type="character" w:customStyle="1" w:styleId="6">
    <w:name w:val="页眉 字符"/>
    <w:basedOn w:val="5"/>
    <w:link w:val="3"/>
    <w:qFormat/>
    <w:uiPriority w:val="99"/>
    <w:rPr>
      <w:rFonts w:ascii="Calibri" w:hAnsi="Calibri" w:eastAsia="宋体" w:cs="Times New Roman"/>
      <w:sz w:val="18"/>
      <w:szCs w:val="18"/>
    </w:rPr>
  </w:style>
  <w:style w:type="character" w:customStyle="1" w:styleId="7">
    <w:name w:val="页脚 字符"/>
    <w:basedOn w:val="5"/>
    <w:link w:val="2"/>
    <w:qFormat/>
    <w:uiPriority w:val="99"/>
    <w:rPr>
      <w:rFonts w:ascii="Calibri" w:hAnsi="Calibri" w:eastAsia="宋体" w:cs="Times New Roman"/>
      <w:sz w:val="18"/>
      <w:szCs w:val="18"/>
    </w:rPr>
  </w:style>
  <w:style w:type="paragraph" w:styleId="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140</Words>
  <Characters>802</Characters>
  <Lines>6</Lines>
  <Paragraphs>1</Paragraphs>
  <TotalTime>0</TotalTime>
  <ScaleCrop>false</ScaleCrop>
  <LinksUpToDate>false</LinksUpToDate>
  <CharactersWithSpaces>941</CharactersWithSpaces>
  <Application>WPS Office_11.8.2.10125_F1E327BC-269C-435d-A152-05C5408002CA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2018-09-29T18:33:00Z</dcterms:created>
  <dc:creator>陈媚</dc:creator>
  <cp:lastModifiedBy>scjgj</cp:lastModifiedBy>
  <dcterms:modified xsi:type="dcterms:W3CDTF">2024-12-02T16:38:17Z</dcterms:modified>
  <cp:revision>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ies>
</file>