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80C0C" w14:textId="76A53279" w:rsidR="00AB1591" w:rsidRDefault="00AB1591" w:rsidP="00AB1591">
      <w:pPr>
        <w:spacing w:line="360" w:lineRule="auto"/>
        <w:jc w:val="center"/>
        <w:rPr>
          <w:rFonts w:ascii="SimHei" w:eastAsia="SimHei" w:hAnsi="SimHei" w:cs="SimHei"/>
          <w:bCs/>
          <w:sz w:val="36"/>
          <w:szCs w:val="36"/>
        </w:rPr>
      </w:pPr>
      <w:r>
        <w:rPr>
          <w:rFonts w:ascii="SimHei" w:eastAsia="SimHei" w:hAnsi="SimHei" w:cs="SimHei" w:hint="eastAsia"/>
          <w:bCs/>
          <w:sz w:val="36"/>
          <w:szCs w:val="36"/>
        </w:rPr>
        <w:t>经营者集中简易案件公示表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1796"/>
        <w:gridCol w:w="5783"/>
      </w:tblGrid>
      <w:tr w:rsidR="00AB1591" w14:paraId="2582B65E" w14:textId="77777777" w:rsidTr="003B66C9">
        <w:trPr>
          <w:trHeight w:val="756"/>
          <w:jc w:val="center"/>
        </w:trPr>
        <w:tc>
          <w:tcPr>
            <w:tcW w:w="2061" w:type="dxa"/>
            <w:shd w:val="clear" w:color="auto" w:fill="D9D9D9"/>
            <w:vAlign w:val="center"/>
          </w:tcPr>
          <w:p w14:paraId="02098584" w14:textId="77777777" w:rsidR="00AB1591" w:rsidRPr="00475586" w:rsidRDefault="00AB1591" w:rsidP="00D758F5">
            <w:pPr>
              <w:pStyle w:val="BodyText"/>
              <w:adjustRightInd w:val="0"/>
              <w:snapToGrid w:val="0"/>
              <w:spacing w:after="0"/>
              <w:rPr>
                <w:rFonts w:ascii="Times" w:hAnsi="Times" w:cs="SimSun"/>
                <w:bCs/>
                <w:color w:val="000000"/>
                <w:lang w:val="en-US"/>
              </w:rPr>
            </w:pPr>
            <w:proofErr w:type="spellStart"/>
            <w:r w:rsidRPr="00475586">
              <w:rPr>
                <w:rFonts w:ascii="Times" w:hAnsi="Times" w:cs="SimSun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579" w:type="dxa"/>
            <w:gridSpan w:val="2"/>
            <w:vAlign w:val="center"/>
          </w:tcPr>
          <w:p w14:paraId="4253D798" w14:textId="551A6B19" w:rsidR="00AB1591" w:rsidRPr="00475586" w:rsidRDefault="00BD7D65" w:rsidP="00E529E4">
            <w:pPr>
              <w:spacing w:after="0"/>
              <w:rPr>
                <w:rFonts w:ascii="Times" w:hAnsi="Times" w:cs="SimSun"/>
                <w:bCs/>
                <w:color w:val="000000"/>
                <w:lang w:val="en-US"/>
              </w:rPr>
            </w:pPr>
            <w:r w:rsidRPr="00475586">
              <w:rPr>
                <w:rFonts w:ascii="Times" w:hAnsi="Times" w:cs="SimSun" w:hint="eastAsia"/>
                <w:bCs/>
                <w:color w:val="000000"/>
                <w:lang w:val="en-US"/>
              </w:rPr>
              <w:t>安大略</w:t>
            </w:r>
            <w:proofErr w:type="gramStart"/>
            <w:r w:rsidRPr="00475586">
              <w:rPr>
                <w:rFonts w:ascii="Times" w:hAnsi="Times" w:cs="SimSun" w:hint="eastAsia"/>
                <w:bCs/>
                <w:color w:val="000000"/>
                <w:lang w:val="en-US"/>
              </w:rPr>
              <w:t>省教师</w:t>
            </w:r>
            <w:proofErr w:type="gramEnd"/>
            <w:r w:rsidRPr="00475586">
              <w:rPr>
                <w:rFonts w:ascii="Times" w:hAnsi="Times" w:cs="SimSun" w:hint="eastAsia"/>
                <w:bCs/>
                <w:color w:val="000000"/>
                <w:lang w:val="en-US"/>
              </w:rPr>
              <w:t>退休基金会委员会收购</w:t>
            </w:r>
            <w:r w:rsidRPr="00475586">
              <w:rPr>
                <w:rFonts w:ascii="Times" w:hAnsi="Times" w:cs="Arial"/>
                <w:bCs/>
                <w:color w:val="000000"/>
                <w:lang w:val="en-US"/>
              </w:rPr>
              <w:t>Alpha OMH, Inc.</w:t>
            </w:r>
            <w:r w:rsidRPr="00475586">
              <w:rPr>
                <w:rFonts w:ascii="Times" w:hAnsi="Times" w:cs="SimSun" w:hint="eastAsia"/>
                <w:bCs/>
                <w:color w:val="000000"/>
                <w:lang w:val="en-US"/>
              </w:rPr>
              <w:t>股权案</w:t>
            </w:r>
          </w:p>
        </w:tc>
      </w:tr>
      <w:tr w:rsidR="00AB1591" w14:paraId="7EA7C63F" w14:textId="77777777" w:rsidTr="00D758F5">
        <w:trPr>
          <w:trHeight w:val="1391"/>
          <w:jc w:val="center"/>
        </w:trPr>
        <w:tc>
          <w:tcPr>
            <w:tcW w:w="2061" w:type="dxa"/>
            <w:shd w:val="clear" w:color="auto" w:fill="D9D9D9"/>
            <w:vAlign w:val="center"/>
          </w:tcPr>
          <w:p w14:paraId="229AFDF4" w14:textId="77777777" w:rsidR="00AB1591" w:rsidRPr="00475586" w:rsidRDefault="00AB1591" w:rsidP="00D758F5">
            <w:pPr>
              <w:pStyle w:val="BodyText"/>
              <w:adjustRightInd w:val="0"/>
              <w:snapToGrid w:val="0"/>
              <w:spacing w:after="0"/>
              <w:rPr>
                <w:rFonts w:ascii="Times" w:hAnsi="Times" w:cs="SimSun"/>
                <w:bCs/>
                <w:color w:val="000000"/>
                <w:lang w:val="en-US" w:eastAsia="zh-CN"/>
              </w:rPr>
            </w:pPr>
            <w:r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t>交易概况（限</w:t>
            </w:r>
            <w:r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t>200</w:t>
            </w:r>
            <w:r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579" w:type="dxa"/>
            <w:gridSpan w:val="2"/>
            <w:vAlign w:val="center"/>
          </w:tcPr>
          <w:p w14:paraId="4B958228" w14:textId="46110EC2" w:rsidR="00AB1591" w:rsidRPr="00475586" w:rsidRDefault="001E7E62" w:rsidP="00E529E4">
            <w:pPr>
              <w:widowControl w:val="0"/>
              <w:spacing w:after="120"/>
              <w:rPr>
                <w:rFonts w:ascii="Times" w:hAnsi="Times" w:cs="Arial"/>
                <w:bCs/>
                <w:color w:val="000000"/>
                <w:lang w:val="en-US"/>
              </w:rPr>
            </w:pPr>
            <w:r w:rsidRPr="00475586">
              <w:rPr>
                <w:rFonts w:ascii="Times" w:hAnsi="Times" w:cs="SimSun" w:hint="eastAsia"/>
                <w:bCs/>
                <w:color w:val="000000"/>
              </w:rPr>
              <w:t>根据《股份购买协议》，</w:t>
            </w:r>
            <w:r w:rsidRPr="00475586">
              <w:rPr>
                <w:rFonts w:ascii="Times" w:hAnsi="Times" w:cs="SimSun" w:hint="eastAsia"/>
                <w:bCs/>
                <w:color w:val="000000"/>
                <w:lang w:val="en-US"/>
              </w:rPr>
              <w:t>安大略</w:t>
            </w:r>
            <w:proofErr w:type="gramStart"/>
            <w:r w:rsidRPr="00475586">
              <w:rPr>
                <w:rFonts w:ascii="Times" w:hAnsi="Times" w:cs="SimSun" w:hint="eastAsia"/>
                <w:bCs/>
                <w:color w:val="000000"/>
                <w:lang w:val="en-US"/>
              </w:rPr>
              <w:t>省教师</w:t>
            </w:r>
            <w:proofErr w:type="gramEnd"/>
            <w:r w:rsidRPr="00475586">
              <w:rPr>
                <w:rFonts w:ascii="Times" w:hAnsi="Times" w:cs="SimSun" w:hint="eastAsia"/>
                <w:bCs/>
                <w:color w:val="000000"/>
                <w:lang w:val="en-US"/>
              </w:rPr>
              <w:t>退休基金会委员会（及其关联实体，“</w:t>
            </w:r>
            <w:r w:rsidRPr="00475586">
              <w:rPr>
                <w:rFonts w:ascii="Times" w:hAnsi="Times" w:cs="Arial"/>
                <w:b/>
                <w:color w:val="000000"/>
                <w:lang w:val="en-US"/>
              </w:rPr>
              <w:t>OTPP</w:t>
            </w:r>
            <w:r w:rsidRPr="00475586">
              <w:rPr>
                <w:rFonts w:ascii="Times" w:hAnsi="Times" w:cs="SimSun" w:hint="eastAsia"/>
                <w:bCs/>
                <w:color w:val="000000"/>
                <w:lang w:val="en-US"/>
              </w:rPr>
              <w:t>”）将间接收购</w:t>
            </w:r>
            <w:r w:rsidRPr="00475586">
              <w:rPr>
                <w:rFonts w:ascii="Times" w:hAnsi="Times" w:cs="Arial"/>
                <w:bCs/>
                <w:color w:val="000000"/>
                <w:lang w:val="en-US"/>
              </w:rPr>
              <w:t>Alpha OMH, Inc.</w:t>
            </w:r>
            <w:r w:rsidR="00AF14E4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（“</w:t>
            </w:r>
            <w:r w:rsidR="00AF14E4" w:rsidRPr="00475586">
              <w:rPr>
                <w:rFonts w:ascii="Times" w:hAnsi="Times" w:cs="Arial" w:hint="eastAsia"/>
                <w:b/>
                <w:color w:val="000000"/>
                <w:lang w:val="en-US"/>
              </w:rPr>
              <w:t>目标公司</w:t>
            </w:r>
            <w:r w:rsidR="00AF14E4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”）</w:t>
            </w:r>
            <w:r w:rsidR="00D83044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发行</w:t>
            </w:r>
            <w:r w:rsidR="00153910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的</w:t>
            </w:r>
            <w:r w:rsidR="00153910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35%</w:t>
            </w:r>
            <w:r w:rsidR="00153910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至</w:t>
            </w:r>
            <w:r w:rsidR="00153910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4</w:t>
            </w:r>
            <w:r w:rsidR="00A921F8">
              <w:rPr>
                <w:rFonts w:ascii="Times" w:hAnsi="Times" w:cs="Arial" w:hint="eastAsia"/>
                <w:bCs/>
                <w:color w:val="000000"/>
                <w:lang w:val="en-US"/>
              </w:rPr>
              <w:t>6</w:t>
            </w:r>
            <w:r w:rsidR="00153910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%</w:t>
            </w:r>
            <w:r w:rsidR="00153910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的</w:t>
            </w:r>
            <w:r w:rsidR="0065275B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A</w:t>
            </w:r>
            <w:r w:rsidR="0065275B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类股和</w:t>
            </w:r>
            <w:r w:rsidR="0065275B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B</w:t>
            </w:r>
            <w:r w:rsidR="0065275B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类股</w:t>
            </w:r>
            <w:r w:rsidR="00AF14E4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。目标公司是</w:t>
            </w:r>
            <w:r w:rsidR="00AF14E4" w:rsidRPr="00475586">
              <w:rPr>
                <w:rFonts w:ascii="Times" w:hAnsi="Times" w:cs="Arial"/>
                <w:bCs/>
                <w:color w:val="000000"/>
                <w:lang w:val="en-US"/>
              </w:rPr>
              <w:t>OMH HealthEdge Holdings, Inc.</w:t>
            </w:r>
            <w:r w:rsidR="00AF14E4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的母公司，</w:t>
            </w:r>
            <w:r w:rsidR="00471353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为美国的医疗保健机构提供</w:t>
            </w:r>
            <w:r w:rsidR="00050C41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医疗</w:t>
            </w:r>
            <w:r w:rsidR="00471353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收入周期管理服务。</w:t>
            </w:r>
          </w:p>
          <w:p w14:paraId="2F377C49" w14:textId="415A54F9" w:rsidR="00471353" w:rsidRPr="00475586" w:rsidRDefault="00050C41" w:rsidP="00E529E4">
            <w:pPr>
              <w:widowControl w:val="0"/>
              <w:spacing w:after="120"/>
              <w:rPr>
                <w:rFonts w:ascii="Times" w:hAnsi="Times" w:cs="SimSun"/>
                <w:bCs/>
                <w:color w:val="000000"/>
              </w:rPr>
            </w:pPr>
            <w:r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拟议</w:t>
            </w:r>
            <w:r w:rsidR="00471353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交易前，高盛集团公司（及其关联实体，“</w:t>
            </w:r>
            <w:r w:rsidR="00471353" w:rsidRPr="00475586">
              <w:rPr>
                <w:rFonts w:ascii="Times" w:hAnsi="Times" w:cs="Arial" w:hint="eastAsia"/>
                <w:b/>
                <w:color w:val="000000"/>
                <w:lang w:val="en-US"/>
              </w:rPr>
              <w:t>高盛</w:t>
            </w:r>
            <w:r w:rsidR="00471353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”）</w:t>
            </w:r>
            <w:r w:rsidR="00176658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持有目标公司约</w:t>
            </w:r>
            <w:r w:rsidR="00176658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61.7%</w:t>
            </w:r>
            <w:r w:rsidR="00176658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的</w:t>
            </w:r>
            <w:r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股份</w:t>
            </w:r>
            <w:r w:rsidR="00176658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并单独控制目标公司。</w:t>
            </w:r>
            <w:r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拟议</w:t>
            </w:r>
            <w:r w:rsidR="00176658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交易</w:t>
            </w:r>
            <w:r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完成后</w:t>
            </w:r>
            <w:r w:rsidR="00176658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，</w:t>
            </w:r>
            <w:r w:rsidR="00176658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OTPP</w:t>
            </w:r>
            <w:r w:rsidR="00176658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和高盛将</w:t>
            </w:r>
            <w:r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分别</w:t>
            </w:r>
            <w:r w:rsidR="00176658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持有</w:t>
            </w:r>
            <w:r w:rsidR="003B66C9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目标公司</w:t>
            </w:r>
            <w:r w:rsidR="00176658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35%</w:t>
            </w:r>
            <w:r w:rsidR="003B66C9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至</w:t>
            </w:r>
            <w:r w:rsidR="00176658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4</w:t>
            </w:r>
            <w:r w:rsidR="00A921F8">
              <w:rPr>
                <w:rFonts w:ascii="Times" w:hAnsi="Times" w:cs="Arial" w:hint="eastAsia"/>
                <w:bCs/>
                <w:color w:val="000000"/>
                <w:lang w:val="en-US"/>
              </w:rPr>
              <w:t>6</w:t>
            </w:r>
            <w:r w:rsidR="00176658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%</w:t>
            </w:r>
            <w:r w:rsidR="00176658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的</w:t>
            </w:r>
            <w:r w:rsidR="00F8255B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同等</w:t>
            </w:r>
            <w:r w:rsidR="00176658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比例</w:t>
            </w:r>
            <w:r w:rsidR="00F8255B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股份</w:t>
            </w:r>
            <w:r w:rsidR="003B66C9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，并</w:t>
            </w:r>
            <w:r w:rsidR="008A6670" w:rsidRPr="00475586">
              <w:rPr>
                <w:rFonts w:ascii="Times" w:hAnsi="Times" w:cs="Arial" w:hint="eastAsia"/>
                <w:bCs/>
                <w:color w:val="000000"/>
                <w:lang w:val="en-US"/>
              </w:rPr>
              <w:t>将共同控制目标公司。</w:t>
            </w:r>
          </w:p>
        </w:tc>
      </w:tr>
      <w:tr w:rsidR="00AB1591" w14:paraId="31172F65" w14:textId="77777777" w:rsidTr="00D758F5">
        <w:trPr>
          <w:trHeight w:val="942"/>
          <w:jc w:val="center"/>
        </w:trPr>
        <w:tc>
          <w:tcPr>
            <w:tcW w:w="2061" w:type="dxa"/>
            <w:vMerge w:val="restart"/>
            <w:shd w:val="clear" w:color="auto" w:fill="D9D9D9"/>
            <w:vAlign w:val="center"/>
          </w:tcPr>
          <w:p w14:paraId="056D54E7" w14:textId="77777777" w:rsidR="00AB1591" w:rsidRPr="00475586" w:rsidRDefault="00AB1591" w:rsidP="00D758F5">
            <w:pPr>
              <w:pStyle w:val="BodyText"/>
              <w:adjustRightInd w:val="0"/>
              <w:snapToGrid w:val="0"/>
              <w:spacing w:after="0"/>
              <w:rPr>
                <w:rFonts w:ascii="Times" w:hAnsi="Times" w:cs="SimSun"/>
                <w:bCs/>
                <w:color w:val="000000"/>
                <w:lang w:val="en-US" w:eastAsia="zh-CN"/>
              </w:rPr>
            </w:pPr>
            <w:r w:rsidRPr="00475586">
              <w:rPr>
                <w:rFonts w:ascii="Times" w:hAnsi="Times" w:cs="SimSun" w:hint="eastAsia"/>
                <w:bCs/>
                <w:color w:val="000000"/>
                <w:lang w:val="en-US" w:eastAsia="zh-CN"/>
              </w:rPr>
              <w:t>参与集中的经营者简介（每个限</w:t>
            </w:r>
            <w:r w:rsidRPr="00475586">
              <w:rPr>
                <w:rFonts w:ascii="Times" w:hAnsi="Times" w:cs="SimSun" w:hint="eastAsia"/>
                <w:bCs/>
                <w:color w:val="000000"/>
                <w:lang w:val="en-US" w:eastAsia="zh-CN"/>
              </w:rPr>
              <w:t>100</w:t>
            </w:r>
            <w:r w:rsidRPr="00475586">
              <w:rPr>
                <w:rFonts w:ascii="Times" w:hAnsi="Times" w:cs="SimSun" w:hint="eastAsia"/>
                <w:bCs/>
                <w:color w:val="000000"/>
                <w:lang w:val="en-US" w:eastAsia="zh-CN"/>
              </w:rPr>
              <w:t>字以内）</w:t>
            </w:r>
          </w:p>
        </w:tc>
        <w:tc>
          <w:tcPr>
            <w:tcW w:w="1796" w:type="dxa"/>
            <w:vAlign w:val="center"/>
          </w:tcPr>
          <w:p w14:paraId="4E5ED8B1" w14:textId="57D2329D" w:rsidR="00AB1591" w:rsidRPr="00475586" w:rsidRDefault="00AB1591" w:rsidP="00E529E4">
            <w:pPr>
              <w:pStyle w:val="BodyText"/>
              <w:spacing w:after="120"/>
              <w:rPr>
                <w:rFonts w:ascii="Times" w:hAnsi="Times" w:cs="SimSun"/>
                <w:bCs/>
                <w:color w:val="000000"/>
                <w:lang w:val="en-US" w:eastAsia="zh-CN"/>
              </w:rPr>
            </w:pPr>
            <w:r w:rsidRPr="00475586">
              <w:rPr>
                <w:rFonts w:ascii="Times" w:hAnsi="Times" w:cs="SimSun" w:hint="eastAsia"/>
                <w:bCs/>
                <w:color w:val="000000"/>
                <w:lang w:val="en-US" w:eastAsia="zh-CN"/>
              </w:rPr>
              <w:t>1.</w:t>
            </w:r>
            <w:r w:rsidR="008A6670" w:rsidRPr="00475586">
              <w:rPr>
                <w:rFonts w:ascii="Times" w:hAnsi="Times" w:cs="SimSun"/>
                <w:bCs/>
                <w:color w:val="000000"/>
                <w:lang w:val="en-US" w:eastAsia="zh-CN"/>
              </w:rPr>
              <w:t>OTPP</w:t>
            </w:r>
          </w:p>
        </w:tc>
        <w:tc>
          <w:tcPr>
            <w:tcW w:w="5783" w:type="dxa"/>
            <w:vAlign w:val="center"/>
          </w:tcPr>
          <w:p w14:paraId="4B4AC550" w14:textId="4F23CAE6" w:rsidR="009B1A4A" w:rsidRPr="00475586" w:rsidRDefault="009B1A4A" w:rsidP="00E529E4">
            <w:pPr>
              <w:widowControl w:val="0"/>
              <w:spacing w:after="120"/>
              <w:rPr>
                <w:rFonts w:ascii="Times" w:hAnsi="Times" w:cs="Arial"/>
                <w:bCs/>
                <w:color w:val="000000"/>
              </w:rPr>
            </w:pPr>
            <w:r w:rsidRPr="00475586">
              <w:rPr>
                <w:rFonts w:ascii="Times" w:hAnsi="Times" w:cs="Arial"/>
                <w:bCs/>
                <w:color w:val="000000"/>
              </w:rPr>
              <w:t>OTPP</w:t>
            </w:r>
            <w:r w:rsidRPr="00475586">
              <w:rPr>
                <w:rFonts w:ascii="Times" w:hAnsi="Times" w:cs="Arial"/>
                <w:bCs/>
                <w:color w:val="000000"/>
              </w:rPr>
              <w:t>于</w:t>
            </w:r>
            <w:r w:rsidRPr="00475586">
              <w:rPr>
                <w:rFonts w:ascii="Times" w:hAnsi="Times" w:cs="Arial"/>
                <w:bCs/>
                <w:color w:val="000000"/>
              </w:rPr>
              <w:t>1990</w:t>
            </w:r>
            <w:r w:rsidRPr="00475586">
              <w:rPr>
                <w:rFonts w:ascii="Times" w:hAnsi="Times" w:cs="Arial"/>
                <w:bCs/>
                <w:color w:val="000000"/>
              </w:rPr>
              <w:t>年</w:t>
            </w:r>
            <w:r w:rsidRPr="00475586">
              <w:rPr>
                <w:rFonts w:ascii="Times" w:hAnsi="Times" w:cs="Arial"/>
                <w:bCs/>
                <w:color w:val="000000"/>
              </w:rPr>
              <w:t>1</w:t>
            </w:r>
            <w:r w:rsidRPr="00475586">
              <w:rPr>
                <w:rFonts w:ascii="Times" w:hAnsi="Times" w:cs="Arial"/>
                <w:bCs/>
                <w:color w:val="000000"/>
              </w:rPr>
              <w:t>月</w:t>
            </w:r>
            <w:r w:rsidRPr="00475586">
              <w:rPr>
                <w:rFonts w:ascii="Times" w:hAnsi="Times" w:cs="Arial"/>
                <w:bCs/>
                <w:color w:val="000000"/>
              </w:rPr>
              <w:t>1</w:t>
            </w:r>
            <w:r w:rsidRPr="00475586">
              <w:rPr>
                <w:rFonts w:ascii="Times" w:hAnsi="Times" w:cs="Arial"/>
                <w:bCs/>
                <w:color w:val="000000"/>
              </w:rPr>
              <w:t>日成立于加拿大。</w:t>
            </w:r>
            <w:r w:rsidRPr="00475586">
              <w:rPr>
                <w:rFonts w:ascii="Times" w:hAnsi="Times" w:cs="Arial"/>
                <w:bCs/>
                <w:color w:val="000000"/>
              </w:rPr>
              <w:t>OTPP</w:t>
            </w:r>
            <w:r w:rsidRPr="00475586">
              <w:rPr>
                <w:rFonts w:ascii="Times" w:hAnsi="Times" w:cs="Arial"/>
                <w:bCs/>
                <w:color w:val="000000"/>
              </w:rPr>
              <w:t>是一家根据《安大略省教师退休基金会法案》成立的无股本</w:t>
            </w:r>
            <w:r w:rsidR="00710E16">
              <w:rPr>
                <w:rFonts w:ascii="Times" w:hAnsi="Times" w:cs="Arial" w:hint="eastAsia"/>
                <w:bCs/>
                <w:color w:val="000000"/>
              </w:rPr>
              <w:t>公司</w:t>
            </w:r>
            <w:r w:rsidRPr="00475586">
              <w:rPr>
                <w:rFonts w:ascii="Times" w:hAnsi="Times" w:cs="Arial"/>
                <w:bCs/>
                <w:color w:val="000000"/>
              </w:rPr>
              <w:t>。</w:t>
            </w:r>
            <w:r w:rsidRPr="00475586">
              <w:rPr>
                <w:rFonts w:ascii="Times" w:hAnsi="Times" w:cs="Arial"/>
                <w:bCs/>
                <w:color w:val="000000"/>
              </w:rPr>
              <w:t>OTPP</w:t>
            </w:r>
            <w:r w:rsidRPr="00475586">
              <w:rPr>
                <w:rFonts w:ascii="Times" w:hAnsi="Times" w:cs="Arial"/>
                <w:bCs/>
                <w:color w:val="000000"/>
              </w:rPr>
              <w:t>负责代表加拿大安大略省约</w:t>
            </w:r>
            <w:r w:rsidRPr="00475586">
              <w:rPr>
                <w:rFonts w:ascii="Times" w:hAnsi="Times" w:cs="Arial"/>
                <w:bCs/>
                <w:color w:val="000000"/>
              </w:rPr>
              <w:t>340,000</w:t>
            </w:r>
            <w:r w:rsidRPr="00475586">
              <w:rPr>
                <w:rFonts w:ascii="Times" w:hAnsi="Times" w:cs="Arial"/>
                <w:bCs/>
                <w:color w:val="000000"/>
              </w:rPr>
              <w:t>名在任和退休教师管理退休金福利和退休金计划资产的投资。</w:t>
            </w:r>
          </w:p>
          <w:p w14:paraId="3E612D64" w14:textId="0E805B51" w:rsidR="00AB1591" w:rsidRPr="00475586" w:rsidRDefault="009B1A4A" w:rsidP="00E529E4">
            <w:pPr>
              <w:widowControl w:val="0"/>
              <w:spacing w:after="120"/>
              <w:rPr>
                <w:rFonts w:ascii="Times" w:hAnsi="Times" w:cs="SimSun"/>
                <w:bCs/>
                <w:color w:val="000000"/>
              </w:rPr>
            </w:pPr>
            <w:r w:rsidRPr="00475586">
              <w:rPr>
                <w:rFonts w:ascii="Times" w:hAnsi="Times" w:cs="Arial"/>
                <w:bCs/>
                <w:color w:val="000000"/>
              </w:rPr>
              <w:t>OTPP</w:t>
            </w:r>
            <w:r w:rsidRPr="00475586">
              <w:rPr>
                <w:rFonts w:ascii="Times" w:hAnsi="Times" w:cs="Arial"/>
                <w:bCs/>
                <w:color w:val="000000"/>
              </w:rPr>
              <w:t>没有最终控制人。</w:t>
            </w:r>
          </w:p>
        </w:tc>
      </w:tr>
      <w:tr w:rsidR="00AB1591" w14:paraId="03FED3EA" w14:textId="77777777" w:rsidTr="00D758F5">
        <w:trPr>
          <w:trHeight w:val="984"/>
          <w:jc w:val="center"/>
        </w:trPr>
        <w:tc>
          <w:tcPr>
            <w:tcW w:w="2061" w:type="dxa"/>
            <w:vMerge/>
            <w:shd w:val="clear" w:color="auto" w:fill="D9D9D9"/>
            <w:vAlign w:val="center"/>
          </w:tcPr>
          <w:p w14:paraId="6181F5E7" w14:textId="77777777" w:rsidR="00AB1591" w:rsidRPr="00475586" w:rsidRDefault="00AB1591" w:rsidP="00D758F5">
            <w:pPr>
              <w:pStyle w:val="BodyText"/>
              <w:adjustRightInd w:val="0"/>
              <w:snapToGrid w:val="0"/>
              <w:spacing w:after="0"/>
              <w:rPr>
                <w:rFonts w:ascii="Times" w:hAnsi="Times" w:cs="SimSun"/>
                <w:bCs/>
                <w:color w:val="000000"/>
                <w:lang w:val="en-US" w:eastAsia="zh-CN"/>
              </w:rPr>
            </w:pPr>
          </w:p>
        </w:tc>
        <w:tc>
          <w:tcPr>
            <w:tcW w:w="1796" w:type="dxa"/>
            <w:vAlign w:val="center"/>
          </w:tcPr>
          <w:p w14:paraId="51C3924F" w14:textId="5CEB883D" w:rsidR="00AB1591" w:rsidRPr="00475586" w:rsidRDefault="00AB1591" w:rsidP="00E529E4">
            <w:pPr>
              <w:pStyle w:val="BodyText"/>
              <w:spacing w:after="120"/>
              <w:rPr>
                <w:rFonts w:ascii="Times" w:hAnsi="Times" w:cs="SimSun"/>
                <w:bCs/>
                <w:color w:val="000000"/>
                <w:lang w:eastAsia="zh-CN"/>
              </w:rPr>
            </w:pPr>
            <w:r w:rsidRPr="00475586">
              <w:rPr>
                <w:rFonts w:ascii="Times" w:hAnsi="Times" w:cs="SimSun" w:hint="eastAsia"/>
                <w:bCs/>
                <w:color w:val="000000"/>
                <w:lang w:val="en-US" w:eastAsia="zh-CN"/>
              </w:rPr>
              <w:t>2.</w:t>
            </w:r>
            <w:r w:rsidR="008A6670" w:rsidRPr="00475586">
              <w:rPr>
                <w:rFonts w:ascii="Times" w:hAnsi="Times" w:cs="SimSun" w:hint="eastAsia"/>
                <w:bCs/>
                <w:color w:val="000000"/>
                <w:lang w:val="en-US" w:eastAsia="zh-CN"/>
              </w:rPr>
              <w:t>高盛</w:t>
            </w:r>
          </w:p>
        </w:tc>
        <w:tc>
          <w:tcPr>
            <w:tcW w:w="5783" w:type="dxa"/>
            <w:vAlign w:val="center"/>
          </w:tcPr>
          <w:p w14:paraId="3FE2050D" w14:textId="26027513" w:rsidR="00616192" w:rsidRPr="00475586" w:rsidRDefault="009B1A4A" w:rsidP="00E529E4">
            <w:pPr>
              <w:spacing w:after="120"/>
              <w:rPr>
                <w:rFonts w:ascii="Times" w:hAnsi="Times" w:cs="Arial"/>
                <w:bCs/>
                <w:color w:val="000000"/>
              </w:rPr>
            </w:pPr>
            <w:r w:rsidRPr="00475586">
              <w:rPr>
                <w:rFonts w:ascii="Times" w:hAnsi="Times" w:cs="Arial"/>
                <w:bCs/>
                <w:color w:val="000000"/>
              </w:rPr>
              <w:t>高盛于</w:t>
            </w:r>
            <w:r w:rsidRPr="00475586">
              <w:rPr>
                <w:rFonts w:ascii="Times" w:hAnsi="Times" w:cs="Arial"/>
                <w:bCs/>
                <w:color w:val="000000"/>
              </w:rPr>
              <w:t>1869</w:t>
            </w:r>
            <w:r w:rsidRPr="00475586">
              <w:rPr>
                <w:rFonts w:ascii="Times" w:hAnsi="Times" w:cs="Arial"/>
                <w:bCs/>
                <w:color w:val="000000"/>
              </w:rPr>
              <w:t>年</w:t>
            </w:r>
            <w:r w:rsidRPr="00475586">
              <w:rPr>
                <w:rFonts w:ascii="Times" w:hAnsi="Times" w:cs="Arial"/>
                <w:bCs/>
                <w:color w:val="000000"/>
              </w:rPr>
              <w:t>1</w:t>
            </w:r>
            <w:r w:rsidRPr="00475586">
              <w:rPr>
                <w:rFonts w:ascii="Times" w:hAnsi="Times" w:cs="Arial"/>
                <w:bCs/>
                <w:color w:val="000000"/>
              </w:rPr>
              <w:t>月</w:t>
            </w:r>
            <w:r w:rsidRPr="00475586">
              <w:rPr>
                <w:rFonts w:ascii="Times" w:hAnsi="Times" w:cs="Arial"/>
                <w:bCs/>
                <w:color w:val="000000"/>
              </w:rPr>
              <w:t>1</w:t>
            </w:r>
            <w:r w:rsidRPr="00475586">
              <w:rPr>
                <w:rFonts w:ascii="Times" w:hAnsi="Times" w:cs="Arial"/>
                <w:bCs/>
                <w:color w:val="000000"/>
              </w:rPr>
              <w:t>日成立于美国。</w:t>
            </w:r>
            <w:r w:rsidR="00616192" w:rsidRPr="00475586">
              <w:rPr>
                <w:rFonts w:ascii="Times" w:hAnsi="Times" w:cs="Arial"/>
                <w:bCs/>
                <w:color w:val="000000"/>
              </w:rPr>
              <w:t>高盛是一家全球性的投资银行、证券和投资管理公司，为企业、金融机构、政府和高净值个人</w:t>
            </w:r>
            <w:r w:rsidR="006F44A7">
              <w:rPr>
                <w:rFonts w:ascii="Times" w:hAnsi="Times" w:cs="Arial" w:hint="eastAsia"/>
                <w:bCs/>
                <w:color w:val="000000"/>
              </w:rPr>
              <w:t>等</w:t>
            </w:r>
            <w:r w:rsidR="00616192" w:rsidRPr="00475586">
              <w:rPr>
                <w:rFonts w:ascii="Times" w:hAnsi="Times" w:cs="Arial"/>
                <w:bCs/>
                <w:color w:val="000000"/>
              </w:rPr>
              <w:t>广泛而多样化的客户群体提供一系列银行、证券和投资服务。</w:t>
            </w:r>
          </w:p>
          <w:p w14:paraId="29E2FC89" w14:textId="106FAB66" w:rsidR="00AB1591" w:rsidRPr="00475586" w:rsidRDefault="00616192" w:rsidP="00E529E4">
            <w:pPr>
              <w:spacing w:after="120"/>
              <w:rPr>
                <w:rFonts w:ascii="Times" w:hAnsi="Times" w:cs="SimSun"/>
                <w:bCs/>
                <w:color w:val="000000"/>
              </w:rPr>
            </w:pPr>
            <w:r w:rsidRPr="00475586">
              <w:rPr>
                <w:rFonts w:ascii="Times" w:hAnsi="Times" w:cs="Arial"/>
                <w:bCs/>
                <w:color w:val="000000"/>
              </w:rPr>
              <w:t>高盛是一家在纽约证券交易所上市的公司，其不受任何股东或股东团体控制。</w:t>
            </w:r>
          </w:p>
        </w:tc>
      </w:tr>
      <w:tr w:rsidR="00AB1591" w14:paraId="501E4A19" w14:textId="77777777" w:rsidTr="00D758F5">
        <w:trPr>
          <w:trHeight w:val="367"/>
          <w:jc w:val="center"/>
        </w:trPr>
        <w:tc>
          <w:tcPr>
            <w:tcW w:w="2061" w:type="dxa"/>
            <w:vMerge w:val="restart"/>
            <w:shd w:val="clear" w:color="auto" w:fill="D9D9D9"/>
            <w:vAlign w:val="center"/>
          </w:tcPr>
          <w:p w14:paraId="621457B3" w14:textId="77777777" w:rsidR="00AB1591" w:rsidRPr="00475586" w:rsidRDefault="00AB1591" w:rsidP="00D758F5">
            <w:pPr>
              <w:pStyle w:val="BodyText"/>
              <w:adjustRightInd w:val="0"/>
              <w:snapToGrid w:val="0"/>
              <w:spacing w:after="0"/>
              <w:rPr>
                <w:rFonts w:ascii="Times" w:hAnsi="Times" w:cs="SimSun"/>
                <w:bCs/>
                <w:color w:val="000000"/>
                <w:lang w:val="en-US" w:eastAsia="zh-CN"/>
              </w:rPr>
            </w:pPr>
            <w:r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579" w:type="dxa"/>
            <w:gridSpan w:val="2"/>
            <w:vAlign w:val="center"/>
          </w:tcPr>
          <w:p w14:paraId="417567DC" w14:textId="1A8F6143" w:rsidR="00AB1591" w:rsidRPr="00475586" w:rsidRDefault="00BD7D65" w:rsidP="00D758F5">
            <w:pPr>
              <w:pStyle w:val="BodyText"/>
              <w:adjustRightInd w:val="0"/>
              <w:snapToGrid w:val="0"/>
              <w:spacing w:after="0"/>
              <w:rPr>
                <w:rFonts w:ascii="Times" w:hAnsi="Times" w:cs="SimSun"/>
                <w:bCs/>
                <w:color w:val="000000"/>
                <w:lang w:val="en-US" w:eastAsia="zh-CN"/>
              </w:rPr>
            </w:pPr>
            <w:r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sym w:font="Wingdings" w:char="00A8"/>
            </w:r>
            <w:r w:rsidR="00AB1591"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t xml:space="preserve"> 1.</w:t>
            </w:r>
            <w:r w:rsidR="00AB1591"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t>在同一相关市场，参与集中的经营者所占的市场份额之和小于</w:t>
            </w:r>
            <w:r w:rsidR="00AB1591"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t>15%</w:t>
            </w:r>
            <w:r w:rsidR="00AB1591"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t>。</w:t>
            </w:r>
          </w:p>
        </w:tc>
      </w:tr>
      <w:tr w:rsidR="00AB1591" w14:paraId="0A058781" w14:textId="77777777" w:rsidTr="00D758F5">
        <w:trPr>
          <w:trHeight w:val="163"/>
          <w:jc w:val="center"/>
        </w:trPr>
        <w:tc>
          <w:tcPr>
            <w:tcW w:w="2061" w:type="dxa"/>
            <w:vMerge/>
            <w:shd w:val="clear" w:color="auto" w:fill="D9D9D9"/>
            <w:vAlign w:val="center"/>
          </w:tcPr>
          <w:p w14:paraId="350D7F7E" w14:textId="77777777" w:rsidR="00AB1591" w:rsidRPr="00475586" w:rsidRDefault="00AB1591" w:rsidP="00D758F5">
            <w:pPr>
              <w:pStyle w:val="BodyText"/>
              <w:adjustRightInd w:val="0"/>
              <w:snapToGrid w:val="0"/>
              <w:spacing w:after="0"/>
              <w:rPr>
                <w:rFonts w:ascii="Times" w:hAnsi="Times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579" w:type="dxa"/>
            <w:gridSpan w:val="2"/>
            <w:vAlign w:val="center"/>
          </w:tcPr>
          <w:p w14:paraId="61E0D984" w14:textId="6F1080C4" w:rsidR="00AB1591" w:rsidRPr="00475586" w:rsidRDefault="002703AE" w:rsidP="00D758F5">
            <w:pPr>
              <w:pStyle w:val="BodyText"/>
              <w:adjustRightInd w:val="0"/>
              <w:snapToGrid w:val="0"/>
              <w:spacing w:after="0"/>
              <w:rPr>
                <w:rFonts w:ascii="Times" w:hAnsi="Times" w:cs="SimSun"/>
                <w:bCs/>
                <w:color w:val="000000"/>
                <w:lang w:val="en-US" w:eastAsia="zh-CN"/>
              </w:rPr>
            </w:pPr>
            <w:r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sym w:font="Wingdings" w:char="00A8"/>
            </w:r>
            <w:r w:rsidR="00AB1591"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t xml:space="preserve"> 2.</w:t>
            </w:r>
            <w:r w:rsidR="00AB1591"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t>在上下游市场，参与集中的经营者所占的市场份额均小于</w:t>
            </w:r>
            <w:r w:rsidR="00AB1591"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t>25%</w:t>
            </w:r>
            <w:r w:rsidR="00AB1591"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t>。</w:t>
            </w:r>
          </w:p>
        </w:tc>
      </w:tr>
      <w:tr w:rsidR="00AB1591" w14:paraId="19E202C9" w14:textId="77777777" w:rsidTr="00D758F5">
        <w:trPr>
          <w:trHeight w:val="267"/>
          <w:jc w:val="center"/>
        </w:trPr>
        <w:tc>
          <w:tcPr>
            <w:tcW w:w="2061" w:type="dxa"/>
            <w:vMerge/>
            <w:shd w:val="clear" w:color="auto" w:fill="D9D9D9"/>
            <w:vAlign w:val="center"/>
          </w:tcPr>
          <w:p w14:paraId="112C1E95" w14:textId="77777777" w:rsidR="00AB1591" w:rsidRPr="00475586" w:rsidRDefault="00AB1591" w:rsidP="00D758F5">
            <w:pPr>
              <w:pStyle w:val="BodyText"/>
              <w:adjustRightInd w:val="0"/>
              <w:snapToGrid w:val="0"/>
              <w:spacing w:after="0"/>
              <w:rPr>
                <w:rFonts w:ascii="Times" w:hAnsi="Times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579" w:type="dxa"/>
            <w:gridSpan w:val="2"/>
            <w:vAlign w:val="center"/>
          </w:tcPr>
          <w:p w14:paraId="649DEEE0" w14:textId="77777777" w:rsidR="00AB1591" w:rsidRPr="00475586" w:rsidRDefault="00AB1591" w:rsidP="00D758F5">
            <w:pPr>
              <w:pStyle w:val="BodyText"/>
              <w:adjustRightInd w:val="0"/>
              <w:snapToGrid w:val="0"/>
              <w:spacing w:after="0"/>
              <w:rPr>
                <w:rFonts w:ascii="Times" w:hAnsi="Times" w:cs="SimSun"/>
                <w:bCs/>
                <w:color w:val="000000"/>
                <w:lang w:val="en-US" w:eastAsia="zh-CN"/>
              </w:rPr>
            </w:pPr>
            <w:r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sym w:font="Wingdings" w:char="00A8"/>
            </w:r>
            <w:r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t xml:space="preserve"> 3.</w:t>
            </w:r>
            <w:r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t>不在同一相关市场也不存在上下游关系的参与集中的经营者，在与交易有关的每个市场所占的市场份额均小于</w:t>
            </w:r>
            <w:r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t>25%</w:t>
            </w:r>
            <w:r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t>。</w:t>
            </w:r>
          </w:p>
        </w:tc>
      </w:tr>
      <w:tr w:rsidR="00AB1591" w14:paraId="496AF483" w14:textId="77777777" w:rsidTr="00D758F5">
        <w:trPr>
          <w:trHeight w:val="617"/>
          <w:jc w:val="center"/>
        </w:trPr>
        <w:tc>
          <w:tcPr>
            <w:tcW w:w="2061" w:type="dxa"/>
            <w:vMerge/>
            <w:shd w:val="clear" w:color="auto" w:fill="D9D9D9"/>
            <w:vAlign w:val="center"/>
          </w:tcPr>
          <w:p w14:paraId="0E9192B8" w14:textId="77777777" w:rsidR="00AB1591" w:rsidRPr="00475586" w:rsidRDefault="00AB1591" w:rsidP="00D758F5">
            <w:pPr>
              <w:pStyle w:val="BodyText"/>
              <w:adjustRightInd w:val="0"/>
              <w:snapToGrid w:val="0"/>
              <w:spacing w:after="0"/>
              <w:rPr>
                <w:rFonts w:ascii="Times" w:hAnsi="Times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579" w:type="dxa"/>
            <w:gridSpan w:val="2"/>
            <w:vAlign w:val="center"/>
          </w:tcPr>
          <w:p w14:paraId="01B64B14" w14:textId="77777777" w:rsidR="00AB1591" w:rsidRPr="00475586" w:rsidRDefault="00AB1591" w:rsidP="00D758F5">
            <w:pPr>
              <w:pStyle w:val="BodyText"/>
              <w:pageBreakBefore/>
              <w:widowControl w:val="0"/>
              <w:adjustRightInd w:val="0"/>
              <w:snapToGrid w:val="0"/>
              <w:spacing w:after="0"/>
              <w:rPr>
                <w:rFonts w:ascii="Times" w:hAnsi="Times" w:cs="SimSun"/>
                <w:bCs/>
                <w:color w:val="000000"/>
                <w:lang w:val="en-US" w:eastAsia="zh-CN"/>
              </w:rPr>
            </w:pPr>
            <w:r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sym w:font="Wingdings" w:char="00A8"/>
            </w:r>
            <w:r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t xml:space="preserve"> 4.</w:t>
            </w:r>
            <w:r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t>参与集中的经营者在中国境外设立合营企业，合营企业不在中国境内从事经济活动。</w:t>
            </w:r>
          </w:p>
        </w:tc>
      </w:tr>
      <w:tr w:rsidR="00AB1591" w14:paraId="7734741B" w14:textId="77777777" w:rsidTr="00D758F5">
        <w:trPr>
          <w:trHeight w:val="285"/>
          <w:jc w:val="center"/>
        </w:trPr>
        <w:tc>
          <w:tcPr>
            <w:tcW w:w="2061" w:type="dxa"/>
            <w:vMerge/>
            <w:shd w:val="clear" w:color="auto" w:fill="D9D9D9"/>
            <w:vAlign w:val="center"/>
          </w:tcPr>
          <w:p w14:paraId="273332EA" w14:textId="77777777" w:rsidR="00AB1591" w:rsidRPr="00475586" w:rsidRDefault="00AB1591" w:rsidP="00D758F5">
            <w:pPr>
              <w:pStyle w:val="BodyText"/>
              <w:adjustRightInd w:val="0"/>
              <w:snapToGrid w:val="0"/>
              <w:spacing w:after="0"/>
              <w:rPr>
                <w:rFonts w:ascii="Times" w:hAnsi="Times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579" w:type="dxa"/>
            <w:gridSpan w:val="2"/>
            <w:vAlign w:val="center"/>
          </w:tcPr>
          <w:p w14:paraId="72350602" w14:textId="1F8E593D" w:rsidR="00AB1591" w:rsidRPr="00475586" w:rsidRDefault="00BD7D65" w:rsidP="00D758F5">
            <w:pPr>
              <w:pStyle w:val="BodyText"/>
              <w:adjustRightInd w:val="0"/>
              <w:snapToGrid w:val="0"/>
              <w:spacing w:after="0"/>
              <w:rPr>
                <w:rFonts w:ascii="Times" w:hAnsi="Times" w:cs="SimSun"/>
                <w:bCs/>
                <w:color w:val="000000"/>
                <w:lang w:val="en-US" w:eastAsia="zh-CN"/>
              </w:rPr>
            </w:pPr>
            <w:r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sym w:font="Wingdings" w:char="00FE"/>
            </w:r>
            <w:r w:rsidR="00AB1591"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t xml:space="preserve"> 5.</w:t>
            </w:r>
            <w:r w:rsidR="00AB1591"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t>参与集中的经营者收购境外企业股权或资产的，该境外企业不在中国境内从事经济活动。</w:t>
            </w:r>
          </w:p>
        </w:tc>
      </w:tr>
      <w:tr w:rsidR="00AB1591" w14:paraId="7849EFAA" w14:textId="77777777" w:rsidTr="00D758F5">
        <w:trPr>
          <w:trHeight w:val="345"/>
          <w:jc w:val="center"/>
        </w:trPr>
        <w:tc>
          <w:tcPr>
            <w:tcW w:w="2061" w:type="dxa"/>
            <w:vMerge/>
            <w:shd w:val="clear" w:color="auto" w:fill="D9D9D9"/>
            <w:vAlign w:val="center"/>
          </w:tcPr>
          <w:p w14:paraId="325739E7" w14:textId="77777777" w:rsidR="00AB1591" w:rsidRPr="00475586" w:rsidRDefault="00AB1591" w:rsidP="00D758F5">
            <w:pPr>
              <w:pStyle w:val="BodyText"/>
              <w:adjustRightInd w:val="0"/>
              <w:snapToGrid w:val="0"/>
              <w:spacing w:after="0"/>
              <w:rPr>
                <w:rFonts w:ascii="Times" w:hAnsi="Times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579" w:type="dxa"/>
            <w:gridSpan w:val="2"/>
            <w:vAlign w:val="center"/>
          </w:tcPr>
          <w:p w14:paraId="575523C4" w14:textId="77777777" w:rsidR="00AB1591" w:rsidRPr="00475586" w:rsidRDefault="00AB1591" w:rsidP="00D758F5">
            <w:pPr>
              <w:pStyle w:val="BodyText"/>
              <w:adjustRightInd w:val="0"/>
              <w:snapToGrid w:val="0"/>
              <w:spacing w:after="0"/>
              <w:rPr>
                <w:rFonts w:ascii="Times" w:hAnsi="Times" w:cs="SimSun"/>
                <w:bCs/>
                <w:color w:val="000000"/>
                <w:lang w:val="en-US" w:eastAsia="zh-CN"/>
              </w:rPr>
            </w:pPr>
            <w:r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sym w:font="Wingdings" w:char="00A8"/>
            </w:r>
            <w:r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t xml:space="preserve"> 6.</w:t>
            </w:r>
            <w:r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t>由两个以上的经营者共同控制的合营企业，通过集中被其中一个或一个以上经营者控制。</w:t>
            </w:r>
          </w:p>
        </w:tc>
      </w:tr>
      <w:tr w:rsidR="00AB1591" w14:paraId="766EFD51" w14:textId="77777777" w:rsidTr="00E529E4">
        <w:trPr>
          <w:trHeight w:val="1091"/>
          <w:jc w:val="center"/>
        </w:trPr>
        <w:tc>
          <w:tcPr>
            <w:tcW w:w="2061" w:type="dxa"/>
            <w:shd w:val="clear" w:color="auto" w:fill="D9D9D9"/>
            <w:vAlign w:val="center"/>
          </w:tcPr>
          <w:p w14:paraId="477C4850" w14:textId="77777777" w:rsidR="00AB1591" w:rsidRPr="00475586" w:rsidRDefault="00AB1591" w:rsidP="00D758F5">
            <w:pPr>
              <w:pStyle w:val="BodyText"/>
              <w:adjustRightInd w:val="0"/>
              <w:snapToGrid w:val="0"/>
              <w:spacing w:after="0"/>
              <w:rPr>
                <w:rFonts w:ascii="Times" w:hAnsi="Times" w:cs="SimSun"/>
                <w:bCs/>
                <w:color w:val="000000"/>
                <w:lang w:val="en-US" w:eastAsia="zh-CN"/>
              </w:rPr>
            </w:pPr>
            <w:r w:rsidRPr="00475586">
              <w:rPr>
                <w:rFonts w:ascii="Times" w:hAnsi="Times" w:cs="SimSun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579" w:type="dxa"/>
            <w:gridSpan w:val="2"/>
            <w:vAlign w:val="center"/>
          </w:tcPr>
          <w:p w14:paraId="70187C8C" w14:textId="1E9A06B0" w:rsidR="00AB1591" w:rsidRPr="00475586" w:rsidRDefault="00BD7D65" w:rsidP="00D758F5">
            <w:pPr>
              <w:pStyle w:val="BodyText"/>
              <w:adjustRightInd w:val="0"/>
              <w:snapToGrid w:val="0"/>
              <w:spacing w:after="0"/>
              <w:rPr>
                <w:rFonts w:ascii="Times" w:hAnsi="Times" w:cs="SimSun"/>
                <w:bCs/>
                <w:color w:val="000000"/>
              </w:rPr>
            </w:pPr>
            <w:r w:rsidRPr="00475586">
              <w:rPr>
                <w:rFonts w:ascii="Times" w:hAnsi="Times" w:cs="SimSun" w:hint="eastAsia"/>
                <w:bCs/>
                <w:color w:val="000000"/>
                <w:lang w:eastAsia="zh-CN"/>
              </w:rPr>
              <w:t>不适用</w:t>
            </w:r>
          </w:p>
        </w:tc>
      </w:tr>
    </w:tbl>
    <w:p w14:paraId="0D8914B2" w14:textId="43E3242E" w:rsidR="00AB1591" w:rsidRPr="00F372D2" w:rsidRDefault="00AB1591" w:rsidP="00F372D2">
      <w:pPr>
        <w:pStyle w:val="BodyText"/>
        <w:adjustRightInd w:val="0"/>
        <w:snapToGrid w:val="0"/>
        <w:spacing w:after="0"/>
        <w:rPr>
          <w:rFonts w:ascii="SimSun" w:hAnsi="SimSun" w:cs="SimSun"/>
          <w:bCs/>
          <w:color w:val="000000"/>
          <w:lang w:eastAsia="zh-CN"/>
        </w:rPr>
      </w:pPr>
    </w:p>
    <w:sectPr w:rsidR="00AB1591" w:rsidRPr="00F372D2" w:rsidSect="00167C9E">
      <w:head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82EF0" w14:textId="77777777" w:rsidR="00CC5E68" w:rsidRDefault="00CC5E68">
      <w:pPr>
        <w:spacing w:after="0"/>
      </w:pPr>
      <w:r>
        <w:separator/>
      </w:r>
    </w:p>
  </w:endnote>
  <w:endnote w:type="continuationSeparator" w:id="0">
    <w:p w14:paraId="62DBFDF6" w14:textId="77777777" w:rsidR="00CC5E68" w:rsidRDefault="00CC5E68">
      <w:pPr>
        <w:spacing w:after="0"/>
      </w:pPr>
      <w:r>
        <w:continuationSeparator/>
      </w:r>
    </w:p>
  </w:endnote>
  <w:endnote w:type="continuationNotice" w:id="1">
    <w:p w14:paraId="2C82A3D8" w14:textId="77777777" w:rsidR="00CC5E68" w:rsidRDefault="00CC5E6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angSong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1E4B8" w14:textId="77777777" w:rsidR="00CC5E68" w:rsidRDefault="00CC5E68">
      <w:pPr>
        <w:spacing w:after="0"/>
      </w:pPr>
      <w:r>
        <w:separator/>
      </w:r>
    </w:p>
  </w:footnote>
  <w:footnote w:type="continuationSeparator" w:id="0">
    <w:p w14:paraId="7EA80ADF" w14:textId="77777777" w:rsidR="00CC5E68" w:rsidRDefault="00CC5E68">
      <w:pPr>
        <w:spacing w:after="0"/>
      </w:pPr>
      <w:r>
        <w:continuationSeparator/>
      </w:r>
    </w:p>
  </w:footnote>
  <w:footnote w:type="continuationNotice" w:id="1">
    <w:p w14:paraId="553A1355" w14:textId="77777777" w:rsidR="00CC5E68" w:rsidRDefault="00CC5E68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39B5D" w14:textId="6FB508BE" w:rsidR="00CE6E7E" w:rsidRPr="00BD7D65" w:rsidRDefault="00CE6E7E" w:rsidP="00541645">
    <w:pPr>
      <w:pStyle w:val="Header"/>
      <w:ind w:right="800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95CAD"/>
    <w:multiLevelType w:val="multilevel"/>
    <w:tmpl w:val="25195CAD"/>
    <w:lvl w:ilvl="0">
      <w:start w:val="1"/>
      <w:numFmt w:val="bullet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440031797">
    <w:abstractNumId w:val="2"/>
  </w:num>
  <w:num w:numId="2" w16cid:durableId="1890915228">
    <w:abstractNumId w:val="0"/>
  </w:num>
  <w:num w:numId="3" w16cid:durableId="158425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oNotTrackFormatting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0484E"/>
    <w:rsid w:val="000150B7"/>
    <w:rsid w:val="00021AB2"/>
    <w:rsid w:val="00031015"/>
    <w:rsid w:val="000326C8"/>
    <w:rsid w:val="000350B3"/>
    <w:rsid w:val="00041C40"/>
    <w:rsid w:val="0004292A"/>
    <w:rsid w:val="000467AA"/>
    <w:rsid w:val="00050C41"/>
    <w:rsid w:val="00061ACC"/>
    <w:rsid w:val="00062616"/>
    <w:rsid w:val="00073E6B"/>
    <w:rsid w:val="0007723F"/>
    <w:rsid w:val="00077D60"/>
    <w:rsid w:val="00083590"/>
    <w:rsid w:val="00092F4E"/>
    <w:rsid w:val="000B58E5"/>
    <w:rsid w:val="000B5958"/>
    <w:rsid w:val="000B653C"/>
    <w:rsid w:val="000C12E5"/>
    <w:rsid w:val="000C6953"/>
    <w:rsid w:val="000D0853"/>
    <w:rsid w:val="000E29A9"/>
    <w:rsid w:val="000E3A81"/>
    <w:rsid w:val="00101C63"/>
    <w:rsid w:val="00107E19"/>
    <w:rsid w:val="00115F62"/>
    <w:rsid w:val="00117AFC"/>
    <w:rsid w:val="00123E26"/>
    <w:rsid w:val="0013032F"/>
    <w:rsid w:val="00132DBA"/>
    <w:rsid w:val="001435C8"/>
    <w:rsid w:val="00144ED5"/>
    <w:rsid w:val="00145A04"/>
    <w:rsid w:val="00145B05"/>
    <w:rsid w:val="00153910"/>
    <w:rsid w:val="001639D8"/>
    <w:rsid w:val="00167474"/>
    <w:rsid w:val="00167C9E"/>
    <w:rsid w:val="00176658"/>
    <w:rsid w:val="00186A05"/>
    <w:rsid w:val="001965E2"/>
    <w:rsid w:val="001B4EA1"/>
    <w:rsid w:val="001C5840"/>
    <w:rsid w:val="001C611D"/>
    <w:rsid w:val="001D1555"/>
    <w:rsid w:val="001D6168"/>
    <w:rsid w:val="001E0F1F"/>
    <w:rsid w:val="001E7E62"/>
    <w:rsid w:val="001F346E"/>
    <w:rsid w:val="001F35AA"/>
    <w:rsid w:val="001F367B"/>
    <w:rsid w:val="002003C5"/>
    <w:rsid w:val="002201A2"/>
    <w:rsid w:val="00224A7C"/>
    <w:rsid w:val="00227605"/>
    <w:rsid w:val="002278D1"/>
    <w:rsid w:val="00231665"/>
    <w:rsid w:val="00233737"/>
    <w:rsid w:val="002403B5"/>
    <w:rsid w:val="00245281"/>
    <w:rsid w:val="00250E61"/>
    <w:rsid w:val="00261F94"/>
    <w:rsid w:val="002676B9"/>
    <w:rsid w:val="00267941"/>
    <w:rsid w:val="002703AE"/>
    <w:rsid w:val="00287ACC"/>
    <w:rsid w:val="00287E91"/>
    <w:rsid w:val="00291652"/>
    <w:rsid w:val="00295A9A"/>
    <w:rsid w:val="002964A1"/>
    <w:rsid w:val="002A25F2"/>
    <w:rsid w:val="002A2905"/>
    <w:rsid w:val="002A2AB8"/>
    <w:rsid w:val="002A7C26"/>
    <w:rsid w:val="002D0419"/>
    <w:rsid w:val="002E19BF"/>
    <w:rsid w:val="002F09A7"/>
    <w:rsid w:val="002F5271"/>
    <w:rsid w:val="00306B88"/>
    <w:rsid w:val="00310488"/>
    <w:rsid w:val="00311263"/>
    <w:rsid w:val="00316089"/>
    <w:rsid w:val="0034107F"/>
    <w:rsid w:val="00344D27"/>
    <w:rsid w:val="0035604C"/>
    <w:rsid w:val="00371332"/>
    <w:rsid w:val="0037525D"/>
    <w:rsid w:val="003850D4"/>
    <w:rsid w:val="00385F00"/>
    <w:rsid w:val="003866EF"/>
    <w:rsid w:val="003A4565"/>
    <w:rsid w:val="003B0FBC"/>
    <w:rsid w:val="003B27EC"/>
    <w:rsid w:val="003B2F86"/>
    <w:rsid w:val="003B4439"/>
    <w:rsid w:val="003B4C9E"/>
    <w:rsid w:val="003B4D87"/>
    <w:rsid w:val="003B66C9"/>
    <w:rsid w:val="003B7CBC"/>
    <w:rsid w:val="003C3456"/>
    <w:rsid w:val="003D0650"/>
    <w:rsid w:val="003D3FCB"/>
    <w:rsid w:val="003E3B57"/>
    <w:rsid w:val="003E73DB"/>
    <w:rsid w:val="003F1EAC"/>
    <w:rsid w:val="00410914"/>
    <w:rsid w:val="004119F5"/>
    <w:rsid w:val="004166B2"/>
    <w:rsid w:val="004203EF"/>
    <w:rsid w:val="00427E52"/>
    <w:rsid w:val="00446353"/>
    <w:rsid w:val="0044739B"/>
    <w:rsid w:val="00447FA5"/>
    <w:rsid w:val="0046696A"/>
    <w:rsid w:val="00467A6B"/>
    <w:rsid w:val="00471353"/>
    <w:rsid w:val="00475586"/>
    <w:rsid w:val="00481301"/>
    <w:rsid w:val="00483A62"/>
    <w:rsid w:val="00486CD7"/>
    <w:rsid w:val="0049707A"/>
    <w:rsid w:val="004973DB"/>
    <w:rsid w:val="0049771A"/>
    <w:rsid w:val="004A4BF1"/>
    <w:rsid w:val="004C3420"/>
    <w:rsid w:val="004D018B"/>
    <w:rsid w:val="004D124C"/>
    <w:rsid w:val="004D4435"/>
    <w:rsid w:val="004F33F5"/>
    <w:rsid w:val="00504EF0"/>
    <w:rsid w:val="00512A53"/>
    <w:rsid w:val="00523905"/>
    <w:rsid w:val="005251B9"/>
    <w:rsid w:val="00530BB4"/>
    <w:rsid w:val="00541645"/>
    <w:rsid w:val="00545A47"/>
    <w:rsid w:val="005517F9"/>
    <w:rsid w:val="00557B7E"/>
    <w:rsid w:val="0057200D"/>
    <w:rsid w:val="005771CC"/>
    <w:rsid w:val="00584750"/>
    <w:rsid w:val="00591CEC"/>
    <w:rsid w:val="005A3E7D"/>
    <w:rsid w:val="005A74EA"/>
    <w:rsid w:val="005B0CEB"/>
    <w:rsid w:val="005B18A3"/>
    <w:rsid w:val="005D277C"/>
    <w:rsid w:val="005D6D17"/>
    <w:rsid w:val="005E258C"/>
    <w:rsid w:val="005E4B84"/>
    <w:rsid w:val="005E7B2F"/>
    <w:rsid w:val="005F5280"/>
    <w:rsid w:val="005F7223"/>
    <w:rsid w:val="0060413B"/>
    <w:rsid w:val="00605EE6"/>
    <w:rsid w:val="0060669E"/>
    <w:rsid w:val="00614EBB"/>
    <w:rsid w:val="0061583E"/>
    <w:rsid w:val="00616192"/>
    <w:rsid w:val="00617BCA"/>
    <w:rsid w:val="00632159"/>
    <w:rsid w:val="00645B6A"/>
    <w:rsid w:val="00651ED7"/>
    <w:rsid w:val="0065275B"/>
    <w:rsid w:val="00652D70"/>
    <w:rsid w:val="00655225"/>
    <w:rsid w:val="00664174"/>
    <w:rsid w:val="006643EA"/>
    <w:rsid w:val="0067348D"/>
    <w:rsid w:val="006745A9"/>
    <w:rsid w:val="00682729"/>
    <w:rsid w:val="00687505"/>
    <w:rsid w:val="006A3F69"/>
    <w:rsid w:val="006A5B9F"/>
    <w:rsid w:val="006A6F18"/>
    <w:rsid w:val="006B4541"/>
    <w:rsid w:val="006D0971"/>
    <w:rsid w:val="006D1E2B"/>
    <w:rsid w:val="006E0D98"/>
    <w:rsid w:val="006E3180"/>
    <w:rsid w:val="006E6E26"/>
    <w:rsid w:val="006E70AA"/>
    <w:rsid w:val="006F28E7"/>
    <w:rsid w:val="006F44A7"/>
    <w:rsid w:val="006F7A98"/>
    <w:rsid w:val="007029CB"/>
    <w:rsid w:val="00705778"/>
    <w:rsid w:val="00710977"/>
    <w:rsid w:val="00710E16"/>
    <w:rsid w:val="00712382"/>
    <w:rsid w:val="0071288A"/>
    <w:rsid w:val="0071373B"/>
    <w:rsid w:val="00720F7B"/>
    <w:rsid w:val="00726B19"/>
    <w:rsid w:val="00727BD0"/>
    <w:rsid w:val="007373F0"/>
    <w:rsid w:val="00742AFE"/>
    <w:rsid w:val="00742EDF"/>
    <w:rsid w:val="00751420"/>
    <w:rsid w:val="007674D7"/>
    <w:rsid w:val="00772298"/>
    <w:rsid w:val="00794062"/>
    <w:rsid w:val="00797584"/>
    <w:rsid w:val="007A2D94"/>
    <w:rsid w:val="007B651A"/>
    <w:rsid w:val="007B6ED8"/>
    <w:rsid w:val="007B75E4"/>
    <w:rsid w:val="007D15ED"/>
    <w:rsid w:val="007E2608"/>
    <w:rsid w:val="007F1726"/>
    <w:rsid w:val="008006DC"/>
    <w:rsid w:val="0080200E"/>
    <w:rsid w:val="00803A33"/>
    <w:rsid w:val="008051ED"/>
    <w:rsid w:val="00811775"/>
    <w:rsid w:val="008248B2"/>
    <w:rsid w:val="00834D88"/>
    <w:rsid w:val="0084186C"/>
    <w:rsid w:val="00864085"/>
    <w:rsid w:val="008803D0"/>
    <w:rsid w:val="00880F24"/>
    <w:rsid w:val="008836AF"/>
    <w:rsid w:val="00885C9B"/>
    <w:rsid w:val="00893879"/>
    <w:rsid w:val="008A6670"/>
    <w:rsid w:val="008B2172"/>
    <w:rsid w:val="008D4ED8"/>
    <w:rsid w:val="008D644E"/>
    <w:rsid w:val="008E5BCA"/>
    <w:rsid w:val="009022B0"/>
    <w:rsid w:val="00905F4A"/>
    <w:rsid w:val="009145E4"/>
    <w:rsid w:val="009301D9"/>
    <w:rsid w:val="0094346F"/>
    <w:rsid w:val="00953187"/>
    <w:rsid w:val="009551E9"/>
    <w:rsid w:val="0096333E"/>
    <w:rsid w:val="009668EC"/>
    <w:rsid w:val="00977C3B"/>
    <w:rsid w:val="00986A9A"/>
    <w:rsid w:val="009901B5"/>
    <w:rsid w:val="00997D65"/>
    <w:rsid w:val="009A0BCC"/>
    <w:rsid w:val="009A2EFA"/>
    <w:rsid w:val="009A57C5"/>
    <w:rsid w:val="009A6CD4"/>
    <w:rsid w:val="009A6E66"/>
    <w:rsid w:val="009B0211"/>
    <w:rsid w:val="009B1A4A"/>
    <w:rsid w:val="009C16F8"/>
    <w:rsid w:val="009C1DE7"/>
    <w:rsid w:val="009C2C05"/>
    <w:rsid w:val="009C5625"/>
    <w:rsid w:val="009C5962"/>
    <w:rsid w:val="009D0999"/>
    <w:rsid w:val="009E679E"/>
    <w:rsid w:val="009F0698"/>
    <w:rsid w:val="00A05705"/>
    <w:rsid w:val="00A14643"/>
    <w:rsid w:val="00A16853"/>
    <w:rsid w:val="00A16F03"/>
    <w:rsid w:val="00A20754"/>
    <w:rsid w:val="00A21136"/>
    <w:rsid w:val="00A2266D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921F8"/>
    <w:rsid w:val="00A95E6B"/>
    <w:rsid w:val="00AA0F23"/>
    <w:rsid w:val="00AA3E2F"/>
    <w:rsid w:val="00AA46CA"/>
    <w:rsid w:val="00AA535B"/>
    <w:rsid w:val="00AB1591"/>
    <w:rsid w:val="00AB620A"/>
    <w:rsid w:val="00AC3273"/>
    <w:rsid w:val="00AC68C4"/>
    <w:rsid w:val="00AD310D"/>
    <w:rsid w:val="00AD3D4D"/>
    <w:rsid w:val="00AE4069"/>
    <w:rsid w:val="00AE7916"/>
    <w:rsid w:val="00AF09EA"/>
    <w:rsid w:val="00AF14E4"/>
    <w:rsid w:val="00AF1D6D"/>
    <w:rsid w:val="00AF5632"/>
    <w:rsid w:val="00AF7089"/>
    <w:rsid w:val="00B04913"/>
    <w:rsid w:val="00B2036C"/>
    <w:rsid w:val="00B2169A"/>
    <w:rsid w:val="00B31D4D"/>
    <w:rsid w:val="00B3616B"/>
    <w:rsid w:val="00B37633"/>
    <w:rsid w:val="00B518C9"/>
    <w:rsid w:val="00B52EAC"/>
    <w:rsid w:val="00B54969"/>
    <w:rsid w:val="00B77483"/>
    <w:rsid w:val="00B80B9E"/>
    <w:rsid w:val="00B81040"/>
    <w:rsid w:val="00B838DA"/>
    <w:rsid w:val="00B853DE"/>
    <w:rsid w:val="00B86E3A"/>
    <w:rsid w:val="00BA017F"/>
    <w:rsid w:val="00BD1CE8"/>
    <w:rsid w:val="00BD535F"/>
    <w:rsid w:val="00BD7D65"/>
    <w:rsid w:val="00BE6E64"/>
    <w:rsid w:val="00BF31B7"/>
    <w:rsid w:val="00BF4F99"/>
    <w:rsid w:val="00C10048"/>
    <w:rsid w:val="00C25EA9"/>
    <w:rsid w:val="00C30E9B"/>
    <w:rsid w:val="00C424FC"/>
    <w:rsid w:val="00C51ECC"/>
    <w:rsid w:val="00C600D9"/>
    <w:rsid w:val="00C67ADA"/>
    <w:rsid w:val="00C810E8"/>
    <w:rsid w:val="00C847C2"/>
    <w:rsid w:val="00C90BF7"/>
    <w:rsid w:val="00CA6613"/>
    <w:rsid w:val="00CC25D0"/>
    <w:rsid w:val="00CC5E68"/>
    <w:rsid w:val="00CC69AD"/>
    <w:rsid w:val="00CD4F63"/>
    <w:rsid w:val="00CE6E7E"/>
    <w:rsid w:val="00CF1664"/>
    <w:rsid w:val="00CF5A8A"/>
    <w:rsid w:val="00D01278"/>
    <w:rsid w:val="00D02FD1"/>
    <w:rsid w:val="00D12AB1"/>
    <w:rsid w:val="00D210DE"/>
    <w:rsid w:val="00D23B36"/>
    <w:rsid w:val="00D27AEB"/>
    <w:rsid w:val="00D53BAE"/>
    <w:rsid w:val="00D57DBA"/>
    <w:rsid w:val="00D57EBC"/>
    <w:rsid w:val="00D64977"/>
    <w:rsid w:val="00D66472"/>
    <w:rsid w:val="00D71F76"/>
    <w:rsid w:val="00D77095"/>
    <w:rsid w:val="00D80573"/>
    <w:rsid w:val="00D83044"/>
    <w:rsid w:val="00D94BB1"/>
    <w:rsid w:val="00D961C9"/>
    <w:rsid w:val="00D97B80"/>
    <w:rsid w:val="00DA1D73"/>
    <w:rsid w:val="00DB2761"/>
    <w:rsid w:val="00DB2FF6"/>
    <w:rsid w:val="00DB3ECA"/>
    <w:rsid w:val="00DD0E0C"/>
    <w:rsid w:val="00DD7765"/>
    <w:rsid w:val="00DE522D"/>
    <w:rsid w:val="00DF3F0D"/>
    <w:rsid w:val="00E06974"/>
    <w:rsid w:val="00E23955"/>
    <w:rsid w:val="00E318D8"/>
    <w:rsid w:val="00E340CC"/>
    <w:rsid w:val="00E417DF"/>
    <w:rsid w:val="00E47327"/>
    <w:rsid w:val="00E529E4"/>
    <w:rsid w:val="00E66815"/>
    <w:rsid w:val="00E7385D"/>
    <w:rsid w:val="00E86579"/>
    <w:rsid w:val="00E90A19"/>
    <w:rsid w:val="00E974F8"/>
    <w:rsid w:val="00EA2758"/>
    <w:rsid w:val="00EA38E5"/>
    <w:rsid w:val="00EA79DA"/>
    <w:rsid w:val="00EC1274"/>
    <w:rsid w:val="00EC3217"/>
    <w:rsid w:val="00EC636E"/>
    <w:rsid w:val="00EC7E55"/>
    <w:rsid w:val="00ED6F93"/>
    <w:rsid w:val="00EE7984"/>
    <w:rsid w:val="00EE7CB8"/>
    <w:rsid w:val="00EF16FB"/>
    <w:rsid w:val="00F02216"/>
    <w:rsid w:val="00F0291C"/>
    <w:rsid w:val="00F101DD"/>
    <w:rsid w:val="00F14193"/>
    <w:rsid w:val="00F14D59"/>
    <w:rsid w:val="00F1733A"/>
    <w:rsid w:val="00F20CCE"/>
    <w:rsid w:val="00F3614E"/>
    <w:rsid w:val="00F37194"/>
    <w:rsid w:val="00F372D2"/>
    <w:rsid w:val="00F4168D"/>
    <w:rsid w:val="00F56870"/>
    <w:rsid w:val="00F576E0"/>
    <w:rsid w:val="00F6440C"/>
    <w:rsid w:val="00F7032D"/>
    <w:rsid w:val="00F8255B"/>
    <w:rsid w:val="00F87813"/>
    <w:rsid w:val="00F901CF"/>
    <w:rsid w:val="00F90205"/>
    <w:rsid w:val="00F906EF"/>
    <w:rsid w:val="00FB1FA1"/>
    <w:rsid w:val="00FB33FD"/>
    <w:rsid w:val="00FB645E"/>
    <w:rsid w:val="00FC35ED"/>
    <w:rsid w:val="00FC5CFF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3DF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B1591"/>
    <w:pPr>
      <w:spacing w:after="240"/>
      <w:jc w:val="both"/>
    </w:pPr>
    <w:rPr>
      <w:sz w:val="24"/>
      <w:szCs w:val="24"/>
      <w:lang w:val="en-GB" w:bidi="ar-AE"/>
    </w:rPr>
  </w:style>
  <w:style w:type="paragraph" w:styleId="Heading1">
    <w:name w:val="heading 1"/>
    <w:basedOn w:val="Normal"/>
    <w:next w:val="Normal"/>
    <w:link w:val="Heading1Char"/>
    <w:qFormat/>
    <w:pPr>
      <w:outlineLvl w:val="0"/>
    </w:pPr>
    <w:rPr>
      <w:rFonts w:cs="Simplified Arabic"/>
    </w:rPr>
  </w:style>
  <w:style w:type="paragraph" w:styleId="Heading2">
    <w:name w:val="heading 2"/>
    <w:basedOn w:val="Normal"/>
    <w:next w:val="BodyText"/>
    <w:link w:val="Heading2Char"/>
    <w:qFormat/>
    <w:pPr>
      <w:outlineLvl w:val="1"/>
    </w:pPr>
    <w:rPr>
      <w:rFonts w:cs="Simplified Arabic"/>
    </w:rPr>
  </w:style>
  <w:style w:type="paragraph" w:styleId="Heading3">
    <w:name w:val="heading 3"/>
    <w:basedOn w:val="Heading2"/>
    <w:next w:val="BodyText"/>
    <w:link w:val="Heading3Char"/>
    <w:qFormat/>
    <w:pPr>
      <w:outlineLvl w:val="2"/>
    </w:pPr>
  </w:style>
  <w:style w:type="paragraph" w:styleId="Heading4">
    <w:name w:val="heading 4"/>
    <w:basedOn w:val="Normal"/>
    <w:next w:val="BodyText"/>
    <w:link w:val="Heading4Char"/>
    <w:qFormat/>
    <w:pPr>
      <w:outlineLvl w:val="3"/>
    </w:pPr>
    <w:rPr>
      <w:rFonts w:cs="Simplified Arabic"/>
    </w:rPr>
  </w:style>
  <w:style w:type="paragraph" w:styleId="Heading5">
    <w:name w:val="heading 5"/>
    <w:basedOn w:val="Normal"/>
    <w:next w:val="BodyText"/>
    <w:link w:val="Heading5Char"/>
    <w:qFormat/>
    <w:pPr>
      <w:outlineLvl w:val="4"/>
    </w:pPr>
    <w:rPr>
      <w:rFonts w:cs="Simplified Arabic"/>
    </w:rPr>
  </w:style>
  <w:style w:type="paragraph" w:styleId="Heading6">
    <w:name w:val="heading 6"/>
    <w:basedOn w:val="Normal"/>
    <w:next w:val="BodyText"/>
    <w:link w:val="Heading6Char"/>
    <w:qFormat/>
    <w:pPr>
      <w:outlineLvl w:val="5"/>
    </w:pPr>
    <w:rPr>
      <w:rFonts w:cs="Simplified Arabic"/>
    </w:rPr>
  </w:style>
  <w:style w:type="paragraph" w:styleId="Heading7">
    <w:name w:val="heading 7"/>
    <w:basedOn w:val="Normal"/>
    <w:next w:val="BodyText"/>
    <w:link w:val="Heading7Char"/>
    <w:qFormat/>
    <w:pPr>
      <w:outlineLvl w:val="6"/>
    </w:pPr>
    <w:rPr>
      <w:rFonts w:cs="Simplified Arabic"/>
    </w:rPr>
  </w:style>
  <w:style w:type="paragraph" w:styleId="Heading8">
    <w:name w:val="heading 8"/>
    <w:basedOn w:val="Normal"/>
    <w:next w:val="BodyText"/>
    <w:link w:val="Heading8Char"/>
    <w:qFormat/>
    <w:pPr>
      <w:outlineLvl w:val="7"/>
    </w:pPr>
    <w:rPr>
      <w:rFonts w:cs="Simplified Arabic"/>
    </w:rPr>
  </w:style>
  <w:style w:type="paragraph" w:styleId="Heading9">
    <w:name w:val="heading 9"/>
    <w:basedOn w:val="Normal"/>
    <w:next w:val="BodyText"/>
    <w:link w:val="Heading9Char"/>
    <w:qFormat/>
    <w:pPr>
      <w:outlineLvl w:val="8"/>
    </w:pPr>
    <w:rPr>
      <w:rFonts w:cs="Simplified Arab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MacroTextChar">
    <w:name w:val="Macro Text Char"/>
    <w:link w:val="MacroText"/>
    <w:rPr>
      <w:rFonts w:ascii="Courier New" w:hAnsi="Courier New" w:cs="Courier New"/>
      <w:lang w:val="en-GB" w:eastAsia="zh-CN" w:bidi="ar-AE"/>
    </w:rPr>
  </w:style>
  <w:style w:type="character" w:customStyle="1" w:styleId="Heading1Char">
    <w:name w:val="Heading 1 Char"/>
    <w:link w:val="Heading1"/>
    <w:rPr>
      <w:sz w:val="24"/>
      <w:szCs w:val="24"/>
      <w:lang w:bidi="ar-AE"/>
    </w:rPr>
  </w:style>
  <w:style w:type="character" w:customStyle="1" w:styleId="Heading2Char">
    <w:name w:val="Heading 2 Char"/>
    <w:link w:val="Heading2"/>
    <w:rPr>
      <w:sz w:val="24"/>
      <w:szCs w:val="24"/>
      <w:lang w:bidi="ar-AE"/>
    </w:rPr>
  </w:style>
  <w:style w:type="paragraph" w:styleId="BodyText">
    <w:name w:val="Body Text"/>
    <w:basedOn w:val="Normal"/>
    <w:link w:val="BodyTextChar"/>
    <w:rPr>
      <w:rFonts w:cs="Simplified Arabic"/>
      <w:lang w:eastAsia="en-GB"/>
    </w:rPr>
  </w:style>
  <w:style w:type="character" w:customStyle="1" w:styleId="BodyTextChar">
    <w:name w:val="Body Text Char"/>
    <w:link w:val="BodyText"/>
    <w:rPr>
      <w:sz w:val="24"/>
      <w:szCs w:val="24"/>
      <w:lang w:eastAsia="en-GB" w:bidi="ar-AE"/>
    </w:rPr>
  </w:style>
  <w:style w:type="character" w:customStyle="1" w:styleId="Heading3Char">
    <w:name w:val="Heading 3 Char"/>
    <w:link w:val="Heading3"/>
    <w:rPr>
      <w:sz w:val="24"/>
      <w:szCs w:val="24"/>
      <w:lang w:bidi="ar-AE"/>
    </w:rPr>
  </w:style>
  <w:style w:type="character" w:customStyle="1" w:styleId="Heading4Char">
    <w:name w:val="Heading 4 Char"/>
    <w:link w:val="Heading4"/>
    <w:rPr>
      <w:sz w:val="24"/>
      <w:szCs w:val="24"/>
      <w:lang w:bidi="ar-AE"/>
    </w:rPr>
  </w:style>
  <w:style w:type="character" w:customStyle="1" w:styleId="Heading5Char">
    <w:name w:val="Heading 5 Char"/>
    <w:link w:val="Heading5"/>
    <w:rPr>
      <w:sz w:val="24"/>
      <w:szCs w:val="24"/>
      <w:lang w:bidi="ar-AE"/>
    </w:rPr>
  </w:style>
  <w:style w:type="character" w:customStyle="1" w:styleId="Heading6Char">
    <w:name w:val="Heading 6 Char"/>
    <w:link w:val="Heading6"/>
    <w:rPr>
      <w:sz w:val="24"/>
      <w:szCs w:val="24"/>
      <w:lang w:bidi="ar-AE"/>
    </w:rPr>
  </w:style>
  <w:style w:type="character" w:customStyle="1" w:styleId="Heading7Char">
    <w:name w:val="Heading 7 Char"/>
    <w:link w:val="Heading7"/>
    <w:rPr>
      <w:sz w:val="24"/>
      <w:szCs w:val="24"/>
      <w:lang w:bidi="ar-AE"/>
    </w:rPr>
  </w:style>
  <w:style w:type="character" w:customStyle="1" w:styleId="Heading8Char">
    <w:name w:val="Heading 8 Char"/>
    <w:link w:val="Heading8"/>
    <w:rPr>
      <w:sz w:val="24"/>
      <w:szCs w:val="24"/>
      <w:lang w:bidi="ar-AE"/>
    </w:rPr>
  </w:style>
  <w:style w:type="character" w:customStyle="1" w:styleId="Heading9Char">
    <w:name w:val="Heading 9 Char"/>
    <w:link w:val="Heading9"/>
    <w:rPr>
      <w:sz w:val="24"/>
      <w:szCs w:val="24"/>
      <w:lang w:bidi="ar-AE"/>
    </w:r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TOC7">
    <w:name w:val="toc 7"/>
    <w:basedOn w:val="Normal"/>
    <w:next w:val="Normal"/>
    <w:pPr>
      <w:ind w:left="1440"/>
    </w:pPr>
  </w:style>
  <w:style w:type="paragraph" w:styleId="TableofAuthorities">
    <w:name w:val="table of authorities"/>
    <w:basedOn w:val="Normal"/>
    <w:next w:val="Normal"/>
    <w:pPr>
      <w:ind w:left="240" w:hanging="240"/>
    </w:pPr>
  </w:style>
  <w:style w:type="paragraph" w:styleId="NoteHeading">
    <w:name w:val="Note Heading"/>
    <w:basedOn w:val="Normal"/>
    <w:next w:val="Normal"/>
    <w:link w:val="NoteHeadingChar"/>
    <w:rPr>
      <w:rFonts w:cs="Simplified Arabic"/>
    </w:rPr>
  </w:style>
  <w:style w:type="character" w:customStyle="1" w:styleId="NoteHeadingChar">
    <w:name w:val="Note Heading Char"/>
    <w:link w:val="NoteHeading"/>
    <w:rPr>
      <w:sz w:val="24"/>
      <w:szCs w:val="24"/>
      <w:lang w:bidi="ar-AE"/>
    </w:rPr>
  </w:style>
  <w:style w:type="paragraph" w:styleId="Index8">
    <w:name w:val="index 8"/>
    <w:basedOn w:val="Normal"/>
    <w:next w:val="Normal"/>
    <w:pPr>
      <w:ind w:left="1920" w:hanging="240"/>
    </w:pPr>
  </w:style>
  <w:style w:type="paragraph" w:styleId="E-mailSignature">
    <w:name w:val="E-mail Signature"/>
    <w:basedOn w:val="Normal"/>
    <w:link w:val="E-mailSignatureChar"/>
    <w:rPr>
      <w:rFonts w:cs="Simplified Arabic"/>
    </w:rPr>
  </w:style>
  <w:style w:type="character" w:customStyle="1" w:styleId="E-mailSignatureChar">
    <w:name w:val="E-mail Signature Char"/>
    <w:link w:val="E-mailSignature"/>
    <w:rPr>
      <w:sz w:val="24"/>
      <w:szCs w:val="24"/>
      <w:lang w:bidi="ar-AE"/>
    </w:rPr>
  </w:style>
  <w:style w:type="paragraph" w:styleId="NormalIndent">
    <w:name w:val="Normal Indent"/>
    <w:basedOn w:val="Normal"/>
    <w:pPr>
      <w:ind w:left="720"/>
    </w:pPr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Index5">
    <w:name w:val="index 5"/>
    <w:basedOn w:val="Normal"/>
    <w:next w:val="Normal"/>
    <w:pPr>
      <w:ind w:left="1200" w:hanging="24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DocumentMap">
    <w:name w:val="Document Map"/>
    <w:basedOn w:val="Normal"/>
    <w:link w:val="DocumentMapChar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Pr>
      <w:rFonts w:ascii="Tahoma" w:hAnsi="Tahoma" w:cs="Tahoma"/>
      <w:sz w:val="16"/>
      <w:szCs w:val="16"/>
      <w:lang w:bidi="ar-AE"/>
    </w:rPr>
  </w:style>
  <w:style w:type="paragraph" w:styleId="TOAHeading">
    <w:name w:val="toa heading"/>
    <w:basedOn w:val="Normal"/>
    <w:next w:val="Normal"/>
    <w:pPr>
      <w:spacing w:before="120"/>
    </w:pPr>
    <w:rPr>
      <w:rFonts w:cs="Simplified Arabic"/>
      <w:b/>
      <w:bCs/>
    </w:rPr>
  </w:style>
  <w:style w:type="paragraph" w:styleId="CommentText">
    <w:name w:val="annotation text"/>
    <w:basedOn w:val="Normal"/>
    <w:link w:val="CommentTextChar"/>
    <w:pPr>
      <w:spacing w:after="120"/>
    </w:pPr>
    <w:rPr>
      <w:rFonts w:cs="Simplified Arabic"/>
      <w:sz w:val="20"/>
      <w:szCs w:val="20"/>
    </w:rPr>
  </w:style>
  <w:style w:type="character" w:customStyle="1" w:styleId="CommentTextChar">
    <w:name w:val="Comment Text Char"/>
    <w:link w:val="CommentText"/>
    <w:rPr>
      <w:lang w:bidi="ar-AE"/>
    </w:rPr>
  </w:style>
  <w:style w:type="paragraph" w:styleId="Index6">
    <w:name w:val="index 6"/>
    <w:basedOn w:val="Normal"/>
    <w:next w:val="Normal"/>
    <w:pPr>
      <w:ind w:left="1440" w:hanging="240"/>
    </w:pPr>
  </w:style>
  <w:style w:type="paragraph" w:styleId="Salutation">
    <w:name w:val="Salutation"/>
    <w:basedOn w:val="Normal"/>
    <w:next w:val="Normal"/>
    <w:link w:val="SalutationChar"/>
    <w:rPr>
      <w:rFonts w:cs="Simplified Arabic"/>
    </w:rPr>
  </w:style>
  <w:style w:type="character" w:customStyle="1" w:styleId="SalutationChar">
    <w:name w:val="Salutation Char"/>
    <w:link w:val="Salutation"/>
    <w:rPr>
      <w:sz w:val="24"/>
      <w:szCs w:val="24"/>
      <w:lang w:bidi="ar-AE"/>
    </w:rPr>
  </w:style>
  <w:style w:type="paragraph" w:styleId="BodyText3">
    <w:name w:val="Body Text 3"/>
    <w:basedOn w:val="Normal"/>
    <w:link w:val="BodyText3Char"/>
    <w:pPr>
      <w:ind w:left="2160"/>
    </w:pPr>
    <w:rPr>
      <w:rFonts w:cs="Simplified Arabic"/>
      <w:lang w:eastAsia="en-GB"/>
    </w:rPr>
  </w:style>
  <w:style w:type="character" w:customStyle="1" w:styleId="BodyText3Char">
    <w:name w:val="Body Text 3 Char"/>
    <w:link w:val="BodyText3"/>
    <w:rPr>
      <w:sz w:val="24"/>
      <w:szCs w:val="24"/>
      <w:lang w:eastAsia="en-GB" w:bidi="ar-AE"/>
    </w:rPr>
  </w:style>
  <w:style w:type="paragraph" w:styleId="Closing">
    <w:name w:val="Closing"/>
    <w:basedOn w:val="Normal"/>
    <w:link w:val="ClosingChar"/>
    <w:pPr>
      <w:ind w:left="4320"/>
    </w:pPr>
    <w:rPr>
      <w:rFonts w:cs="Simplified Arabic"/>
    </w:rPr>
  </w:style>
  <w:style w:type="character" w:customStyle="1" w:styleId="ClosingChar">
    <w:name w:val="Closing Char"/>
    <w:link w:val="Closing"/>
    <w:rPr>
      <w:sz w:val="24"/>
      <w:szCs w:val="24"/>
      <w:lang w:bidi="ar-AE"/>
    </w:rPr>
  </w:style>
  <w:style w:type="paragraph" w:styleId="BodyTextIndent">
    <w:name w:val="Body Text Indent"/>
    <w:basedOn w:val="Normal"/>
    <w:link w:val="BodyTextIndentChar"/>
    <w:pPr>
      <w:spacing w:after="120"/>
      <w:ind w:left="283"/>
    </w:pPr>
    <w:rPr>
      <w:rFonts w:cs="Simplified Arabic"/>
    </w:rPr>
  </w:style>
  <w:style w:type="character" w:customStyle="1" w:styleId="BodyTextIndentChar">
    <w:name w:val="Body Text Indent Char"/>
    <w:link w:val="BodyTextIndent"/>
    <w:rPr>
      <w:sz w:val="24"/>
      <w:szCs w:val="24"/>
      <w:lang w:bidi="ar-AE"/>
    </w:r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HTMLAddress">
    <w:name w:val="HTML Address"/>
    <w:basedOn w:val="Normal"/>
    <w:link w:val="HTMLAddressChar"/>
    <w:rPr>
      <w:rFonts w:cs="Simplified Arabic"/>
      <w:i/>
      <w:iCs/>
    </w:rPr>
  </w:style>
  <w:style w:type="character" w:customStyle="1" w:styleId="HTMLAddressChar">
    <w:name w:val="HTML Address Char"/>
    <w:link w:val="HTMLAddress"/>
    <w:rPr>
      <w:i/>
      <w:iCs/>
      <w:sz w:val="24"/>
      <w:szCs w:val="24"/>
      <w:lang w:bidi="ar-AE"/>
    </w:rPr>
  </w:style>
  <w:style w:type="paragraph" w:styleId="Index4">
    <w:name w:val="index 4"/>
    <w:basedOn w:val="Normal"/>
    <w:next w:val="Normal"/>
    <w:pPr>
      <w:ind w:left="960" w:hanging="240"/>
    </w:pPr>
  </w:style>
  <w:style w:type="paragraph" w:styleId="TOC5">
    <w:name w:val="toc 5"/>
    <w:basedOn w:val="Normal"/>
    <w:next w:val="Normal"/>
    <w:pPr>
      <w:ind w:left="960"/>
    </w:pPr>
  </w:style>
  <w:style w:type="paragraph" w:styleId="TOC3">
    <w:name w:val="toc 3"/>
    <w:basedOn w:val="Normal"/>
    <w:next w:val="Normal"/>
    <w:pPr>
      <w:ind w:left="480"/>
    </w:pPr>
  </w:style>
  <w:style w:type="paragraph" w:styleId="PlainText">
    <w:name w:val="Plain Text"/>
    <w:basedOn w:val="Normal"/>
    <w:link w:val="PlainTextChar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rPr>
      <w:rFonts w:ascii="Courier New" w:hAnsi="Courier New" w:cs="Courier New"/>
      <w:lang w:bidi="ar-AE"/>
    </w:rPr>
  </w:style>
  <w:style w:type="paragraph" w:styleId="TOC8">
    <w:name w:val="toc 8"/>
    <w:basedOn w:val="Normal"/>
    <w:next w:val="Normal"/>
    <w:pPr>
      <w:ind w:left="1680"/>
    </w:pPr>
  </w:style>
  <w:style w:type="paragraph" w:styleId="Index3">
    <w:name w:val="index 3"/>
    <w:basedOn w:val="Normal"/>
    <w:next w:val="Normal"/>
    <w:pPr>
      <w:ind w:left="720" w:hanging="240"/>
    </w:pPr>
  </w:style>
  <w:style w:type="paragraph" w:styleId="Date">
    <w:name w:val="Date"/>
    <w:basedOn w:val="Normal"/>
    <w:next w:val="Normal"/>
    <w:link w:val="DateChar"/>
    <w:rPr>
      <w:rFonts w:cs="Simplified Arabic"/>
    </w:rPr>
  </w:style>
  <w:style w:type="character" w:customStyle="1" w:styleId="DateChar">
    <w:name w:val="Date Char"/>
    <w:link w:val="Date"/>
    <w:rPr>
      <w:sz w:val="24"/>
      <w:szCs w:val="24"/>
      <w:lang w:bidi="ar-AE"/>
    </w:rPr>
  </w:style>
  <w:style w:type="paragraph" w:styleId="BodyTextIndent2">
    <w:name w:val="Body Text Indent 2"/>
    <w:basedOn w:val="Normal"/>
    <w:link w:val="BodyTextIndent2Char"/>
    <w:pPr>
      <w:spacing w:after="120"/>
      <w:ind w:left="360"/>
    </w:pPr>
    <w:rPr>
      <w:rFonts w:cs="Simplified Arabic"/>
    </w:rPr>
  </w:style>
  <w:style w:type="character" w:customStyle="1" w:styleId="BodyTextIndent2Char">
    <w:name w:val="Body Text Indent 2 Char"/>
    <w:link w:val="BodyTextIndent2"/>
    <w:rPr>
      <w:sz w:val="24"/>
      <w:szCs w:val="24"/>
      <w:lang w:bidi="ar-AE"/>
    </w:rPr>
  </w:style>
  <w:style w:type="paragraph" w:styleId="EndnoteText">
    <w:name w:val="endnote text"/>
    <w:basedOn w:val="Normal"/>
    <w:next w:val="Normal"/>
    <w:link w:val="End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EndnoteTextChar">
    <w:name w:val="Endnote Text Char"/>
    <w:link w:val="EndnoteText"/>
    <w:rPr>
      <w:lang w:bidi="ar-AE"/>
    </w:rPr>
  </w:style>
  <w:style w:type="paragraph" w:styleId="ListContinue5">
    <w:name w:val="List Continue 5"/>
    <w:basedOn w:val="Normal"/>
    <w:pPr>
      <w:spacing w:after="120"/>
      <w:ind w:left="1800"/>
      <w:contextualSpacing/>
    </w:pPr>
  </w:style>
  <w:style w:type="paragraph" w:styleId="BalloonText">
    <w:name w:val="Balloon Text"/>
    <w:basedOn w:val="Normal"/>
    <w:link w:val="BalloonTextChar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bidi="ar-AE"/>
    </w:rPr>
  </w:style>
  <w:style w:type="paragraph" w:styleId="Footer">
    <w:name w:val="footer"/>
    <w:link w:val="FooterChar"/>
    <w:rPr>
      <w:sz w:val="16"/>
      <w:szCs w:val="16"/>
      <w:lang w:val="en-GB" w:bidi="he-IL"/>
    </w:rPr>
  </w:style>
  <w:style w:type="character" w:customStyle="1" w:styleId="FooterChar">
    <w:name w:val="Footer Char"/>
    <w:link w:val="Footer"/>
    <w:rPr>
      <w:sz w:val="16"/>
      <w:szCs w:val="16"/>
      <w:lang w:val="en-GB" w:eastAsia="zh-CN" w:bidi="he-IL"/>
    </w:rPr>
  </w:style>
  <w:style w:type="paragraph" w:styleId="EnvelopeReturn">
    <w:name w:val="envelope return"/>
    <w:basedOn w:val="Normal"/>
    <w:rPr>
      <w:rFonts w:cs="Simplified Arabic"/>
      <w:sz w:val="20"/>
      <w:szCs w:val="20"/>
    </w:rPr>
  </w:style>
  <w:style w:type="paragraph" w:styleId="Header">
    <w:name w:val="header"/>
    <w:link w:val="HeaderChar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HeaderChar">
    <w:name w:val="Header Char"/>
    <w:link w:val="Header"/>
    <w:uiPriority w:val="99"/>
    <w:rPr>
      <w:sz w:val="24"/>
      <w:szCs w:val="24"/>
      <w:lang w:val="en-GB" w:eastAsia="zh-CN" w:bidi="he-IL"/>
    </w:rPr>
  </w:style>
  <w:style w:type="paragraph" w:styleId="Signature">
    <w:name w:val="Signature"/>
    <w:basedOn w:val="Normal"/>
    <w:link w:val="SignatureChar"/>
    <w:pPr>
      <w:ind w:left="4320"/>
    </w:pPr>
    <w:rPr>
      <w:rFonts w:cs="Simplified Arabic"/>
    </w:rPr>
  </w:style>
  <w:style w:type="character" w:customStyle="1" w:styleId="SignatureChar">
    <w:name w:val="Signature Char"/>
    <w:link w:val="Signature"/>
    <w:rPr>
      <w:sz w:val="24"/>
      <w:szCs w:val="24"/>
      <w:lang w:bidi="ar-AE"/>
    </w:rPr>
  </w:style>
  <w:style w:type="paragraph" w:styleId="TOC1">
    <w:name w:val="toc 1"/>
    <w:basedOn w:val="Normal"/>
    <w:next w:val="BodyText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ListContinue4">
    <w:name w:val="List Continue 4"/>
    <w:basedOn w:val="Normal"/>
    <w:pPr>
      <w:spacing w:after="120"/>
      <w:ind w:left="1440"/>
      <w:contextualSpacing/>
    </w:pPr>
  </w:style>
  <w:style w:type="paragraph" w:styleId="TOC4">
    <w:name w:val="toc 4"/>
    <w:basedOn w:val="Normal"/>
    <w:next w:val="Normal"/>
    <w:pPr>
      <w:ind w:left="720"/>
    </w:pPr>
  </w:style>
  <w:style w:type="paragraph" w:styleId="IndexHeading">
    <w:name w:val="index heading"/>
    <w:basedOn w:val="Normal"/>
    <w:next w:val="Normal"/>
    <w:rPr>
      <w:b/>
      <w:bCs/>
    </w:rPr>
  </w:style>
  <w:style w:type="paragraph" w:styleId="Subtitle">
    <w:name w:val="Subtitle"/>
    <w:basedOn w:val="Normal"/>
    <w:next w:val="BodyText"/>
    <w:link w:val="SubtitleChar"/>
    <w:qFormat/>
    <w:pPr>
      <w:jc w:val="center"/>
    </w:pPr>
    <w:rPr>
      <w:rFonts w:cs="Simplified Arabic"/>
    </w:rPr>
  </w:style>
  <w:style w:type="character" w:customStyle="1" w:styleId="SubtitleChar">
    <w:name w:val="Subtitle Char"/>
    <w:link w:val="Subtitle"/>
    <w:rPr>
      <w:sz w:val="24"/>
      <w:szCs w:val="24"/>
      <w:lang w:bidi="ar-AE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FootnoteText">
    <w:name w:val="footnote text"/>
    <w:basedOn w:val="Normal"/>
    <w:next w:val="Normal"/>
    <w:link w:val="Foot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FootnoteTextChar">
    <w:name w:val="Footnote Text Char"/>
    <w:link w:val="FootnoteText"/>
    <w:rPr>
      <w:lang w:bidi="ar-AE"/>
    </w:rPr>
  </w:style>
  <w:style w:type="paragraph" w:styleId="TOC6">
    <w:name w:val="toc 6"/>
    <w:basedOn w:val="Normal"/>
    <w:next w:val="Normal"/>
    <w:pPr>
      <w:ind w:left="1200"/>
    </w:pPr>
  </w:style>
  <w:style w:type="paragraph" w:styleId="List5">
    <w:name w:val="List 5"/>
    <w:basedOn w:val="Normal"/>
    <w:pPr>
      <w:ind w:left="1800" w:hanging="360"/>
      <w:contextualSpacing/>
    </w:p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BodyTextIndent3Char">
    <w:name w:val="Body Text Indent 3 Char"/>
    <w:link w:val="BodyTextIndent3"/>
    <w:rPr>
      <w:sz w:val="16"/>
      <w:szCs w:val="16"/>
      <w:lang w:bidi="ar-AE"/>
    </w:rPr>
  </w:style>
  <w:style w:type="paragraph" w:styleId="Index7">
    <w:name w:val="index 7"/>
    <w:basedOn w:val="Normal"/>
    <w:next w:val="Normal"/>
    <w:pPr>
      <w:ind w:left="1680" w:hanging="240"/>
    </w:pPr>
  </w:style>
  <w:style w:type="paragraph" w:styleId="Index9">
    <w:name w:val="index 9"/>
    <w:basedOn w:val="Normal"/>
    <w:next w:val="Normal"/>
    <w:pPr>
      <w:ind w:left="2160" w:hanging="240"/>
    </w:pPr>
  </w:style>
  <w:style w:type="paragraph" w:styleId="TableofFigures">
    <w:name w:val="table of figures"/>
    <w:basedOn w:val="Normal"/>
    <w:next w:val="Normal"/>
  </w:style>
  <w:style w:type="paragraph" w:styleId="TOC2">
    <w:name w:val="toc 2"/>
    <w:basedOn w:val="Normal"/>
    <w:next w:val="BodyText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Normal"/>
    <w:next w:val="Normal"/>
    <w:pPr>
      <w:ind w:left="1920"/>
    </w:pPr>
  </w:style>
  <w:style w:type="paragraph" w:styleId="BodyText2">
    <w:name w:val="Body Text 2"/>
    <w:basedOn w:val="Normal"/>
    <w:link w:val="BodyText2Char"/>
    <w:pPr>
      <w:ind w:left="1440"/>
    </w:pPr>
    <w:rPr>
      <w:rFonts w:cs="Simplified Arabic"/>
      <w:lang w:eastAsia="en-GB"/>
    </w:rPr>
  </w:style>
  <w:style w:type="character" w:customStyle="1" w:styleId="BodyText2Char">
    <w:name w:val="Body Text 2 Char"/>
    <w:link w:val="BodyText2"/>
    <w:rPr>
      <w:sz w:val="24"/>
      <w:szCs w:val="24"/>
      <w:lang w:eastAsia="en-GB" w:bidi="ar-AE"/>
    </w:rPr>
  </w:style>
  <w:style w:type="paragraph" w:styleId="List4">
    <w:name w:val="List 4"/>
    <w:basedOn w:val="Normal"/>
    <w:pPr>
      <w:ind w:left="1440" w:hanging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MessageHeader">
    <w:name w:val="Message Header"/>
    <w:basedOn w:val="Normal"/>
    <w:link w:val="MessageHeaderChar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MessageHeaderChar">
    <w:name w:val="Message Header Char"/>
    <w:link w:val="MessageHeader"/>
    <w:rPr>
      <w:rFonts w:ascii="Times New Roman" w:eastAsia="SimSun" w:hAnsi="Times New Roman" w:cs="Simplified Arabic"/>
      <w:sz w:val="24"/>
      <w:szCs w:val="24"/>
      <w:shd w:val="pct20" w:color="auto" w:fill="auto"/>
      <w:lang w:bidi="ar-AE"/>
    </w:rPr>
  </w:style>
  <w:style w:type="paragraph" w:styleId="HTMLPreformatted">
    <w:name w:val="HTML Preformatted"/>
    <w:basedOn w:val="Normal"/>
    <w:link w:val="HTMLPreformattedChar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Pr>
      <w:rFonts w:ascii="Courier New" w:hAnsi="Courier New" w:cs="Courier New"/>
      <w:lang w:bidi="ar-AE"/>
    </w:rPr>
  </w:style>
  <w:style w:type="paragraph" w:styleId="NormalWeb">
    <w:name w:val="Normal (Web)"/>
    <w:basedOn w:val="Normal"/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Index1">
    <w:name w:val="index 1"/>
    <w:basedOn w:val="Normal"/>
    <w:next w:val="Normal"/>
    <w:pPr>
      <w:ind w:left="240" w:hanging="240"/>
    </w:pPr>
  </w:style>
  <w:style w:type="paragraph" w:styleId="Index2">
    <w:name w:val="index 2"/>
    <w:basedOn w:val="Normal"/>
    <w:next w:val="Normal"/>
    <w:pPr>
      <w:ind w:left="480" w:hanging="240"/>
    </w:pPr>
  </w:style>
  <w:style w:type="paragraph" w:styleId="Title">
    <w:name w:val="Title"/>
    <w:basedOn w:val="Normal"/>
    <w:next w:val="BodyText"/>
    <w:link w:val="TitleChar"/>
    <w:qFormat/>
    <w:pPr>
      <w:jc w:val="center"/>
    </w:pPr>
    <w:rPr>
      <w:rFonts w:cs="Simplified Arabic"/>
      <w:b/>
      <w:bCs/>
    </w:rPr>
  </w:style>
  <w:style w:type="character" w:customStyle="1" w:styleId="TitleChar">
    <w:name w:val="Title Char"/>
    <w:link w:val="Title"/>
    <w:rPr>
      <w:b/>
      <w:bCs/>
      <w:sz w:val="24"/>
      <w:szCs w:val="24"/>
      <w:lang w:bidi="ar-AE"/>
    </w:rPr>
  </w:style>
  <w:style w:type="paragraph" w:styleId="CommentSubject">
    <w:name w:val="annotation subject"/>
    <w:basedOn w:val="CommentText"/>
    <w:next w:val="CommentText"/>
    <w:link w:val="CommentSubjectChar"/>
    <w:pPr>
      <w:spacing w:after="240"/>
    </w:pPr>
    <w:rPr>
      <w:b/>
      <w:bCs/>
    </w:rPr>
  </w:style>
  <w:style w:type="character" w:customStyle="1" w:styleId="CommentSubjectChar">
    <w:name w:val="Comment Subject Char"/>
    <w:link w:val="CommentSubject"/>
    <w:rPr>
      <w:b/>
      <w:bCs/>
      <w:lang w:bidi="ar-AE"/>
    </w:rPr>
  </w:style>
  <w:style w:type="paragraph" w:styleId="BodyTextFirstIndent">
    <w:name w:val="Body Text First Indent"/>
    <w:basedOn w:val="BodyText"/>
    <w:link w:val="BodyTextFirstIndentChar"/>
    <w:pPr>
      <w:ind w:firstLine="720"/>
    </w:pPr>
  </w:style>
  <w:style w:type="character" w:customStyle="1" w:styleId="BodyTextFirstIndentChar">
    <w:name w:val="Body Text First Indent Char"/>
    <w:link w:val="BodyTextFirstIndent"/>
    <w:rPr>
      <w:sz w:val="24"/>
      <w:szCs w:val="24"/>
      <w:lang w:eastAsia="en-GB" w:bidi="ar-AE"/>
    </w:rPr>
  </w:style>
  <w:style w:type="paragraph" w:styleId="BodyTextFirstIndent2">
    <w:name w:val="Body Text First Indent 2"/>
    <w:basedOn w:val="BodyTextFirstIndent"/>
    <w:link w:val="BodyTextFirstIndent2Char"/>
    <w:pPr>
      <w:ind w:firstLine="1440"/>
    </w:pPr>
  </w:style>
  <w:style w:type="character" w:customStyle="1" w:styleId="BodyTextFirstIndent2Char">
    <w:name w:val="Body Text First Indent 2 Char"/>
    <w:link w:val="BodyTextFirstIndent2"/>
    <w:rPr>
      <w:sz w:val="24"/>
      <w:szCs w:val="24"/>
      <w:lang w:eastAsia="en-GB" w:bidi="ar-AE"/>
    </w:r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Theme">
    <w:name w:val="Table Theme"/>
    <w:basedOn w:val="TableNormal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orful1">
    <w:name w:val="Table Colorful 1"/>
    <w:basedOn w:val="TableNormal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Elegant">
    <w:name w:val="Table Elegant"/>
    <w:basedOn w:val="TableNormal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1">
    <w:name w:val="Table Simple 1"/>
    <w:basedOn w:val="TableNormal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1">
    <w:name w:val="Table 3D effects 1"/>
    <w:basedOn w:val="TableNormal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TableContemporary">
    <w:name w:val="Table Contemporary"/>
    <w:basedOn w:val="TableNormal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TableColumns1">
    <w:name w:val="Table Columns 1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1">
    <w:name w:val="Table Grid 1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1">
    <w:name w:val="Table Web 1"/>
    <w:basedOn w:val="TableNormal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Professional">
    <w:name w:val="Table Professional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LightShading-Accent2">
    <w:name w:val="Light Shading Accent 2"/>
    <w:basedOn w:val="TableNormal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ghtShading-Accent3">
    <w:name w:val="Light Shading Accent 3"/>
    <w:basedOn w:val="TableNormal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ghtShading-Accent4">
    <w:name w:val="Light Shading Accent 4"/>
    <w:basedOn w:val="TableNormal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ghtShading-Accent5">
    <w:name w:val="Light Shading Accent 5"/>
    <w:basedOn w:val="TableNormal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ghtShading-Accent6">
    <w:name w:val="Light Shading Accent 6"/>
    <w:basedOn w:val="TableNormal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LightList-Accent2">
    <w:name w:val="Light List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LightList-Accent4">
    <w:name w:val="Light List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LightList-Accent5">
    <w:name w:val="Light List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LightList-Accent6">
    <w:name w:val="Light List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LightGrid-Accent2">
    <w:name w:val="Light Grid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LightGrid-Accent3">
    <w:name w:val="Light Grid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LightGrid-Accent4">
    <w:name w:val="Light Grid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LightGrid-Accent5">
    <w:name w:val="Light Grid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LightGrid-Accent6">
    <w:name w:val="Light Grid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MediumShading1-Accent2">
    <w:name w:val="Medium Shading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Shading1-Accent3">
    <w:name w:val="Medium Shading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Shading1-Accent4">
    <w:name w:val="Medium Shading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Shading1-Accent5">
    <w:name w:val="Medium Shading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Shading1-Accent6">
    <w:name w:val="Medium Shading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Shading2-Accent2">
    <w:name w:val="Medium Shading 2 Accent 2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4">
    <w:name w:val="Medium Shading 2 Accent 4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5">
    <w:name w:val="Medium Shading 2 Accent 5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6">
    <w:name w:val="Medium Shading 2 Accent 6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1-Accent2">
    <w:name w:val="Medium List 1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-Accent1">
    <w:name w:val="Medium List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MediumList2-Accent2">
    <w:name w:val="Medium List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MediumList2-Accent3">
    <w:name w:val="Medium List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MediumList2-Accent4">
    <w:name w:val="Medium List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MediumList2-Accent5">
    <w:name w:val="Medium List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MediumList2-Accent6">
    <w:name w:val="Medium List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MediumGrid1-Accent1">
    <w:name w:val="Medium Grid 1 Accent 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-Accent1">
    <w:name w:val="Medium Grid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-Accent1">
    <w:name w:val="Medium Grid 3 Accent 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DarkList-Accent1">
    <w:name w:val="Dark List Accent 1"/>
    <w:basedOn w:val="TableNormal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DarkList-Accent2">
    <w:name w:val="Dark List Accent 2"/>
    <w:basedOn w:val="TableNormal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DarkList-Accent3">
    <w:name w:val="Dark List Accent 3"/>
    <w:basedOn w:val="TableNormal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DarkList-Accent4">
    <w:name w:val="Dark List Accent 4"/>
    <w:basedOn w:val="TableNormal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DarkList-Accent5">
    <w:name w:val="Dark List Accent 5"/>
    <w:basedOn w:val="TableNormal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DarkList-Accent6">
    <w:name w:val="Dark List Accent 6"/>
    <w:basedOn w:val="TableNormal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ColorfulShading-Accent1">
    <w:name w:val="Colorful Shading Accent 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1">
    <w:name w:val="Colorful List Accent 1"/>
    <w:basedOn w:val="TableNormal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-Accent1">
    <w:name w:val="Colorful Grid Accent 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rPr>
      <w:rFonts w:ascii="Times New Roman" w:eastAsia="SimSun" w:hAnsi="Times New Roman" w:cs="Simplified Arabic"/>
      <w:sz w:val="18"/>
      <w:szCs w:val="18"/>
      <w:vertAlign w:val="superscript"/>
      <w:lang w:val="en-GB" w:bidi="ar-AE"/>
    </w:rPr>
  </w:style>
  <w:style w:type="character" w:styleId="PageNumber">
    <w:name w:val="page number"/>
    <w:rPr>
      <w:rFonts w:ascii="Times New Roman" w:eastAsia="SimSun" w:hAnsi="Times New Roman" w:cs="Simplified Arabic"/>
      <w:sz w:val="24"/>
      <w:szCs w:val="24"/>
      <w:lang w:val="en-GB" w:bidi="ar-AE"/>
    </w:r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CommentReference">
    <w:name w:val="annotation reference"/>
    <w:rPr>
      <w:rFonts w:ascii="Times New Roman" w:eastAsia="SimSun" w:hAnsi="Times New Roman" w:cs="Simplified Arabic"/>
      <w:sz w:val="18"/>
      <w:szCs w:val="18"/>
      <w:lang w:val="en-GB" w:bidi="ar-AE"/>
    </w:rPr>
  </w:style>
  <w:style w:type="character" w:styleId="FootnoteReference">
    <w:name w:val="footnote reference"/>
    <w:rPr>
      <w:rFonts w:ascii="Times New Roman" w:eastAsia="SimSun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Normal"/>
    <w:pPr>
      <w:ind w:left="720"/>
    </w:pPr>
    <w:rPr>
      <w:lang w:eastAsia="en-GB"/>
    </w:rPr>
  </w:style>
  <w:style w:type="paragraph" w:customStyle="1" w:styleId="BodyText4">
    <w:name w:val="Body Text 4"/>
    <w:basedOn w:val="Normal"/>
    <w:pPr>
      <w:ind w:left="2880"/>
    </w:pPr>
    <w:rPr>
      <w:lang w:eastAsia="en-GB"/>
    </w:rPr>
  </w:style>
  <w:style w:type="paragraph" w:customStyle="1" w:styleId="BodyText5">
    <w:name w:val="Body Text 5"/>
    <w:basedOn w:val="Normal"/>
    <w:pPr>
      <w:ind w:left="3600"/>
    </w:pPr>
    <w:rPr>
      <w:lang w:eastAsia="en-GB"/>
    </w:rPr>
  </w:style>
  <w:style w:type="paragraph" w:customStyle="1" w:styleId="BodyText6">
    <w:name w:val="Body Text 6"/>
    <w:basedOn w:val="Normal"/>
    <w:pPr>
      <w:ind w:left="4320"/>
    </w:pPr>
    <w:rPr>
      <w:lang w:eastAsia="en-GB"/>
    </w:rPr>
  </w:style>
  <w:style w:type="paragraph" w:customStyle="1" w:styleId="BodyText7">
    <w:name w:val="Body Text 7"/>
    <w:basedOn w:val="Normal"/>
    <w:pPr>
      <w:ind w:left="5041"/>
    </w:pPr>
    <w:rPr>
      <w:lang w:eastAsia="en-GB"/>
    </w:rPr>
  </w:style>
  <w:style w:type="paragraph" w:customStyle="1" w:styleId="FooterRight">
    <w:name w:val="Footer Right"/>
    <w:basedOn w:val="Footer"/>
    <w:pPr>
      <w:jc w:val="right"/>
    </w:pPr>
  </w:style>
  <w:style w:type="paragraph" w:customStyle="1" w:styleId="Footnote">
    <w:name w:val="Footnote"/>
    <w:basedOn w:val="FootnoteText"/>
    <w:pPr>
      <w:tabs>
        <w:tab w:val="left" w:pos="340"/>
      </w:tabs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qFormat/>
    <w:pPr>
      <w:spacing w:after="0"/>
    </w:pPr>
  </w:style>
  <w:style w:type="paragraph" w:customStyle="1" w:styleId="NormalBold">
    <w:name w:val="NormalBold"/>
    <w:basedOn w:val="Normal"/>
    <w:next w:val="Normal"/>
    <w:rPr>
      <w:b/>
      <w:bCs/>
    </w:rPr>
  </w:style>
  <w:style w:type="paragraph" w:customStyle="1" w:styleId="NormalBoldNS">
    <w:name w:val="NormalBoldNS"/>
    <w:basedOn w:val="Normal"/>
    <w:next w:val="Normal"/>
    <w:pPr>
      <w:spacing w:after="0"/>
      <w:jc w:val="left"/>
    </w:pPr>
    <w:rPr>
      <w:b/>
      <w:bCs/>
    </w:rPr>
  </w:style>
  <w:style w:type="paragraph" w:customStyle="1" w:styleId="NormalNS">
    <w:name w:val="NormalNS"/>
    <w:basedOn w:val="Normal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Normal"/>
    <w:pPr>
      <w:spacing w:after="120"/>
      <w:ind w:left="340"/>
    </w:pPr>
    <w:rPr>
      <w:sz w:val="20"/>
      <w:szCs w:val="20"/>
    </w:rPr>
  </w:style>
  <w:style w:type="paragraph" w:styleId="TOCHeading">
    <w:name w:val="TOC Heading"/>
    <w:basedOn w:val="Normal"/>
    <w:next w:val="Normal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Normal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Subtitle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">
    <w:name w:val="NormalLeft"/>
    <w:basedOn w:val="Normal"/>
    <w:next w:val="Normal"/>
    <w:pPr>
      <w:jc w:val="left"/>
    </w:pPr>
  </w:style>
  <w:style w:type="paragraph" w:styleId="Bibliography">
    <w:name w:val="Bibliography"/>
    <w:basedOn w:val="Normal"/>
    <w:next w:val="Normal"/>
  </w:style>
  <w:style w:type="table" w:customStyle="1" w:styleId="ColorfulGrid1">
    <w:name w:val="Colorful Grid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TableNormal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TableNormal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IntenseQuoteChar">
    <w:name w:val="Intense Quote Char"/>
    <w:link w:val="IntenseQuote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Quote">
    <w:name w:val="Quote"/>
    <w:basedOn w:val="Normal"/>
    <w:next w:val="Normal"/>
    <w:link w:val="QuoteChar"/>
    <w:qFormat/>
    <w:rPr>
      <w:rFonts w:cs="Simplified Arabic"/>
      <w:i/>
      <w:iCs/>
      <w:color w:val="000000"/>
    </w:rPr>
  </w:style>
  <w:style w:type="character" w:customStyle="1" w:styleId="QuoteChar">
    <w:name w:val="Quote Char"/>
    <w:link w:val="Quote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Normal"/>
    <w:next w:val="BodyText3"/>
    <w:link w:val="StandardL9Char"/>
    <w:pPr>
      <w:tabs>
        <w:tab w:val="left" w:pos="2160"/>
      </w:tabs>
      <w:ind w:left="2160" w:hanging="720"/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rFonts w:cs="Simplified Arabic"/>
      <w:sz w:val="24"/>
      <w:szCs w:val="24"/>
      <w:lang w:val="en-GB" w:bidi="ar-AE"/>
    </w:rPr>
  </w:style>
  <w:style w:type="paragraph" w:customStyle="1" w:styleId="StandardL8">
    <w:name w:val="Standard L8"/>
    <w:basedOn w:val="Normal"/>
    <w:next w:val="BodyText2"/>
    <w:link w:val="StandardL8Char"/>
    <w:pPr>
      <w:tabs>
        <w:tab w:val="left" w:pos="1440"/>
      </w:tabs>
      <w:ind w:left="1440" w:hanging="720"/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rFonts w:cs="Simplified Arabic"/>
      <w:sz w:val="24"/>
      <w:szCs w:val="24"/>
      <w:lang w:val="en-GB" w:bidi="ar-AE"/>
    </w:rPr>
  </w:style>
  <w:style w:type="paragraph" w:customStyle="1" w:styleId="StandardL7">
    <w:name w:val="Standard L7"/>
    <w:basedOn w:val="Normal"/>
    <w:next w:val="BodyText6"/>
    <w:link w:val="StandardL7Char"/>
    <w:pPr>
      <w:tabs>
        <w:tab w:val="left" w:pos="4320"/>
      </w:tabs>
      <w:ind w:left="4321" w:hanging="721"/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rFonts w:cs="Simplified Arabic"/>
      <w:sz w:val="24"/>
      <w:szCs w:val="24"/>
      <w:lang w:val="en-GB" w:bidi="ar-AE"/>
    </w:rPr>
  </w:style>
  <w:style w:type="paragraph" w:customStyle="1" w:styleId="StandardL6">
    <w:name w:val="Standard L6"/>
    <w:basedOn w:val="Normal"/>
    <w:next w:val="BodyText5"/>
    <w:link w:val="StandardL6Char"/>
    <w:pPr>
      <w:tabs>
        <w:tab w:val="left" w:pos="3600"/>
      </w:tabs>
      <w:ind w:left="3600" w:hanging="720"/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rFonts w:cs="Simplified Arabic"/>
      <w:sz w:val="24"/>
      <w:szCs w:val="24"/>
      <w:lang w:val="en-GB" w:bidi="ar-AE"/>
    </w:rPr>
  </w:style>
  <w:style w:type="paragraph" w:customStyle="1" w:styleId="StandardL5">
    <w:name w:val="Standard L5"/>
    <w:basedOn w:val="Normal"/>
    <w:next w:val="BodyText4"/>
    <w:link w:val="StandardL5Char"/>
    <w:pPr>
      <w:tabs>
        <w:tab w:val="left" w:pos="2880"/>
      </w:tabs>
      <w:ind w:left="2880" w:hanging="720"/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rFonts w:cs="Simplified Arabic"/>
      <w:sz w:val="24"/>
      <w:szCs w:val="24"/>
      <w:lang w:val="en-GB" w:bidi="ar-AE"/>
    </w:rPr>
  </w:style>
  <w:style w:type="paragraph" w:customStyle="1" w:styleId="BulletL9">
    <w:name w:val="Bullet L9"/>
    <w:basedOn w:val="Normal"/>
    <w:link w:val="BulletL9Char"/>
    <w:pPr>
      <w:tabs>
        <w:tab w:val="left" w:pos="0"/>
      </w:tabs>
      <w:ind w:left="1"/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rFonts w:cs="Simplified Arabic"/>
      <w:sz w:val="24"/>
      <w:szCs w:val="24"/>
      <w:lang w:val="en-GB" w:bidi="ar-AE"/>
    </w:rPr>
  </w:style>
  <w:style w:type="paragraph" w:customStyle="1" w:styleId="BulletL8">
    <w:name w:val="Bullet L8"/>
    <w:basedOn w:val="Normal"/>
    <w:link w:val="BulletL8Char"/>
    <w:pPr>
      <w:tabs>
        <w:tab w:val="left" w:pos="0"/>
      </w:tabs>
      <w:ind w:left="1"/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rFonts w:cs="Simplified Arabic"/>
      <w:sz w:val="24"/>
      <w:szCs w:val="24"/>
      <w:lang w:val="en-GB" w:bidi="ar-AE"/>
    </w:rPr>
  </w:style>
  <w:style w:type="paragraph" w:customStyle="1" w:styleId="BulletL7">
    <w:name w:val="Bullet L7"/>
    <w:basedOn w:val="Normal"/>
    <w:link w:val="BulletL7Char"/>
    <w:pPr>
      <w:tabs>
        <w:tab w:val="left" w:pos="5040"/>
      </w:tabs>
      <w:ind w:left="5041" w:hanging="720"/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rFonts w:cs="Simplified Arabic"/>
      <w:sz w:val="24"/>
      <w:szCs w:val="24"/>
      <w:lang w:val="en-GB" w:bidi="ar-AE"/>
    </w:rPr>
  </w:style>
  <w:style w:type="paragraph" w:customStyle="1" w:styleId="BulletL6">
    <w:name w:val="Bullet L6"/>
    <w:basedOn w:val="Normal"/>
    <w:link w:val="BulletL6Char"/>
    <w:pPr>
      <w:tabs>
        <w:tab w:val="left" w:pos="4320"/>
      </w:tabs>
      <w:ind w:left="4321" w:hanging="720"/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rFonts w:cs="Simplified Arabic"/>
      <w:sz w:val="24"/>
      <w:szCs w:val="24"/>
      <w:lang w:val="en-GB" w:bidi="ar-AE"/>
    </w:rPr>
  </w:style>
  <w:style w:type="paragraph" w:customStyle="1" w:styleId="BulletL5">
    <w:name w:val="Bullet L5"/>
    <w:basedOn w:val="Normal"/>
    <w:link w:val="BulletL5Char"/>
    <w:pPr>
      <w:tabs>
        <w:tab w:val="left" w:pos="3600"/>
      </w:tabs>
      <w:ind w:left="3601" w:hanging="720"/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rFonts w:cs="Simplified Arabic"/>
      <w:sz w:val="24"/>
      <w:szCs w:val="24"/>
      <w:lang w:val="en-GB" w:bidi="ar-AE"/>
    </w:rPr>
  </w:style>
  <w:style w:type="paragraph" w:customStyle="1" w:styleId="BulletL4">
    <w:name w:val="Bullet L4"/>
    <w:basedOn w:val="Normal"/>
    <w:link w:val="BulletL4Char"/>
    <w:pPr>
      <w:tabs>
        <w:tab w:val="left" w:pos="2880"/>
      </w:tabs>
      <w:ind w:left="2881" w:hanging="720"/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rFonts w:cs="Simplified Arabic"/>
      <w:sz w:val="24"/>
      <w:szCs w:val="24"/>
      <w:lang w:val="en-GB" w:bidi="ar-AE"/>
    </w:rPr>
  </w:style>
  <w:style w:type="paragraph" w:customStyle="1" w:styleId="BulletL3">
    <w:name w:val="Bullet L3"/>
    <w:basedOn w:val="Normal"/>
    <w:link w:val="BulletL3Char"/>
    <w:pPr>
      <w:tabs>
        <w:tab w:val="left" w:pos="2160"/>
      </w:tabs>
      <w:ind w:left="2161" w:hanging="720"/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rFonts w:cs="Simplified Arabic"/>
      <w:sz w:val="24"/>
      <w:szCs w:val="24"/>
      <w:lang w:val="en-GB" w:bidi="ar-AE"/>
    </w:rPr>
  </w:style>
  <w:style w:type="paragraph" w:customStyle="1" w:styleId="BulletL2">
    <w:name w:val="Bullet L2"/>
    <w:basedOn w:val="Normal"/>
    <w:link w:val="BulletL2Char"/>
    <w:pPr>
      <w:tabs>
        <w:tab w:val="left" w:pos="1440"/>
      </w:tabs>
      <w:ind w:left="1441" w:hanging="720"/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rFonts w:cs="Simplified Arabic"/>
      <w:sz w:val="24"/>
      <w:szCs w:val="24"/>
      <w:lang w:val="en-GB" w:bidi="ar-AE"/>
    </w:rPr>
  </w:style>
  <w:style w:type="paragraph" w:customStyle="1" w:styleId="BulletL1">
    <w:name w:val="Bullet L1"/>
    <w:basedOn w:val="Normal"/>
    <w:link w:val="BulletL1Char"/>
    <w:pPr>
      <w:tabs>
        <w:tab w:val="left" w:pos="720"/>
      </w:tabs>
      <w:ind w:left="721" w:hanging="720"/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rFonts w:cs="Simplified Arabic"/>
      <w:sz w:val="24"/>
      <w:szCs w:val="24"/>
      <w:lang w:val="en-GB" w:bidi="ar-AE"/>
    </w:rPr>
  </w:style>
  <w:style w:type="paragraph" w:customStyle="1" w:styleId="StandardL4">
    <w:name w:val="Standard L4"/>
    <w:basedOn w:val="Normal"/>
    <w:next w:val="BodyText3"/>
    <w:link w:val="StandardL4Char"/>
    <w:pPr>
      <w:tabs>
        <w:tab w:val="left" w:pos="2160"/>
      </w:tabs>
      <w:ind w:left="2160" w:hanging="720"/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rFonts w:cs="Simplified Arabic"/>
      <w:sz w:val="24"/>
      <w:szCs w:val="24"/>
      <w:lang w:val="en-GB" w:bidi="ar-AE"/>
    </w:rPr>
  </w:style>
  <w:style w:type="paragraph" w:customStyle="1" w:styleId="StandardL3">
    <w:name w:val="Standard L3"/>
    <w:basedOn w:val="Normal"/>
    <w:next w:val="BodyText2"/>
    <w:link w:val="StandardL3Char"/>
    <w:pPr>
      <w:tabs>
        <w:tab w:val="left" w:pos="1440"/>
      </w:tabs>
      <w:ind w:left="1440" w:hanging="720"/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rFonts w:cs="Simplified Arabic"/>
      <w:sz w:val="24"/>
      <w:szCs w:val="24"/>
      <w:lang w:val="en-GB" w:bidi="ar-AE"/>
    </w:rPr>
  </w:style>
  <w:style w:type="paragraph" w:customStyle="1" w:styleId="StandardL2">
    <w:name w:val="Standard L2"/>
    <w:basedOn w:val="Normal"/>
    <w:next w:val="BodyText1"/>
    <w:link w:val="StandardL2Char"/>
    <w:pPr>
      <w:tabs>
        <w:tab w:val="left" w:pos="720"/>
      </w:tabs>
      <w:ind w:left="720" w:hanging="720"/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rFonts w:cs="Simplified Arabic"/>
      <w:sz w:val="24"/>
      <w:szCs w:val="24"/>
      <w:lang w:val="en-GB" w:bidi="ar-AE"/>
    </w:rPr>
  </w:style>
  <w:style w:type="paragraph" w:customStyle="1" w:styleId="StandardL1">
    <w:name w:val="Standard L1"/>
    <w:basedOn w:val="Normal"/>
    <w:next w:val="BodyText1"/>
    <w:link w:val="StandardL1Char"/>
    <w:pPr>
      <w:keepNext/>
      <w:tabs>
        <w:tab w:val="left" w:pos="720"/>
      </w:tabs>
      <w:suppressAutoHyphens/>
      <w:ind w:left="720" w:hanging="720"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rFonts w:cs="Simplified Arabic"/>
      <w:b/>
      <w:caps/>
      <w:sz w:val="24"/>
      <w:szCs w:val="24"/>
      <w:lang w:val="en-GB"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0">
    <w:name w:val="Normal + Left"/>
    <w:basedOn w:val="Bullet1"/>
    <w:pPr>
      <w:spacing w:before="0"/>
      <w:ind w:left="644" w:hanging="360"/>
    </w:pPr>
    <w:rPr>
      <w:rFonts w:eastAsia="FangSong_GB2312"/>
      <w:bCs/>
      <w:sz w:val="21"/>
      <w:szCs w:val="21"/>
    </w:rPr>
  </w:style>
  <w:style w:type="paragraph" w:styleId="Revision">
    <w:name w:val="Revision"/>
    <w:hidden/>
    <w:uiPriority w:val="99"/>
    <w:unhideWhenUsed/>
    <w:rsid w:val="006F44A7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2025-02-14T10:02:00Z</dcterms:created>
  <dcterms:modified xsi:type="dcterms:W3CDTF">2025-02-14T10:02:00Z</dcterms:modified>
</cp:coreProperties>
</file>