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0838F0">
      <w:pPr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center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GB" w:eastAsia="zh-CN" w:bidi="ar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GB" w:eastAsia="zh-CN" w:bidi="ar"/>
        </w:rPr>
        <w:t>经营者集中简易案件公示表</w:t>
      </w:r>
    </w:p>
    <w:tbl>
      <w:tblPr>
        <w:tblStyle w:val="2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476"/>
        <w:gridCol w:w="6224"/>
      </w:tblGrid>
      <w:tr w14:paraId="78AF2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auto"/>
            <w:vAlign w:val="center"/>
          </w:tcPr>
          <w:p w14:paraId="7F543AEE">
            <w:pPr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329D7769">
            <w:pPr>
              <w:widowControl/>
              <w:adjustRightInd w:val="0"/>
              <w:snapToGrid w:val="0"/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Amsterdam Fertilizers B.V.与深圳市德方纳米科技股份有限公司新设合营企业案</w:t>
            </w:r>
          </w:p>
        </w:tc>
      </w:tr>
      <w:tr w14:paraId="2804C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auto"/>
            <w:vAlign w:val="center"/>
          </w:tcPr>
          <w:p w14:paraId="12FD91C7">
            <w:pPr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7E5D8392">
            <w:pPr>
              <w:widowControl/>
              <w:adjustRightInd w:val="0"/>
              <w:snapToGrid w:val="0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Amsterdam Fertilizers B.V. （“Amsterdam Fertilizers”）与深圳市德方纳米科技股份有限公司（“德方纳米”）签署协议，约定共同新设合营企业。合营企业将在欧洲地区从事磷酸铁锂的生产和销售业务。交易后，Amsterdam Fertilizers、德方纳米将分别持有合营企</w:t>
            </w:r>
            <w:bookmarkStart w:id="0" w:name="_GoBack"/>
            <w:bookmarkEnd w:id="0"/>
            <w:r>
              <w:rPr>
                <w:rFonts w:hint="default" w:ascii="Times New Roman" w:hAnsi="Times New Roman" w:eastAsia="宋体" w:cs="Times New Roman"/>
                <w:sz w:val="24"/>
              </w:rPr>
              <w:t>业80%、20%的股份，共同控制合营企业。</w:t>
            </w:r>
          </w:p>
        </w:tc>
      </w:tr>
      <w:tr w14:paraId="3381F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restart"/>
            <w:shd w:val="clear" w:color="auto" w:fill="auto"/>
            <w:vAlign w:val="center"/>
          </w:tcPr>
          <w:p w14:paraId="734F296C">
            <w:pPr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t>参与集中的经营者简介（每个限100字内）</w:t>
            </w:r>
          </w:p>
        </w:tc>
        <w:tc>
          <w:tcPr>
            <w:tcW w:w="1476" w:type="dxa"/>
            <w:vAlign w:val="center"/>
          </w:tcPr>
          <w:p w14:paraId="06B4D526">
            <w:pPr>
              <w:widowControl/>
              <w:adjustRightInd w:val="0"/>
              <w:snapToGrid w:val="0"/>
              <w:spacing w:after="0"/>
              <w:jc w:val="both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t>1.Amsterdam Fertilizers</w:t>
            </w:r>
          </w:p>
        </w:tc>
        <w:tc>
          <w:tcPr>
            <w:tcW w:w="6224" w:type="dxa"/>
            <w:vAlign w:val="center"/>
          </w:tcPr>
          <w:p w14:paraId="40452D9C">
            <w:pPr>
              <w:widowControl/>
              <w:adjustRightInd w:val="0"/>
              <w:snapToGrid w:val="0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Amsterdam Fertilizers于1982年8月30日成立于荷兰阿姆斯特丹</w:t>
            </w:r>
            <w:r>
              <w:rPr>
                <w:rFonts w:hint="eastAsia" w:ascii="Times New Roman" w:hAnsi="Times New Roman" w:eastAsia="宋体" w:cs="Times New Roman"/>
                <w:sz w:val="24"/>
                <w:lang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>Amsterdam Fertilizers是一家控股公司，通过持股关联实体从事化肥和氮肥的生产和销售业务。</w:t>
            </w:r>
          </w:p>
          <w:p w14:paraId="461E05FA">
            <w:pPr>
              <w:widowControl/>
              <w:adjustRightInd w:val="0"/>
              <w:snapToGrid w:val="0"/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Amsterdam Fertilizers的最终控制人为ICL Group Ltd.，主要业务为农业、食品和工程材料等领域应用化学品的全球化生产和销售。</w:t>
            </w:r>
          </w:p>
        </w:tc>
      </w:tr>
      <w:tr w14:paraId="102AB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 w14:paraId="0B825312">
            <w:pPr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76" w:type="dxa"/>
            <w:vAlign w:val="center"/>
          </w:tcPr>
          <w:p w14:paraId="77C47A59">
            <w:pPr>
              <w:widowControl/>
              <w:adjustRightInd w:val="0"/>
              <w:snapToGrid w:val="0"/>
              <w:spacing w:after="0"/>
              <w:jc w:val="both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t>2.德方纳米</w:t>
            </w:r>
          </w:p>
        </w:tc>
        <w:tc>
          <w:tcPr>
            <w:tcW w:w="6224" w:type="dxa"/>
            <w:vAlign w:val="center"/>
          </w:tcPr>
          <w:p w14:paraId="6E0AB922">
            <w:pPr>
              <w:widowControl/>
              <w:adjustRightInd w:val="0"/>
              <w:snapToGrid w:val="0"/>
              <w:spacing w:after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德方纳米于2007年1月25日成立于广东省深圳市，为深圳证券交易所上市公司，主要业务为锂离子电池核心材料的研发、生产和销售。</w:t>
            </w:r>
          </w:p>
          <w:p w14:paraId="2271B980">
            <w:pPr>
              <w:widowControl/>
              <w:adjustRightInd w:val="0"/>
              <w:snapToGrid w:val="0"/>
              <w:spacing w:after="0"/>
              <w:jc w:val="both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德方纳米无最终控制人。</w:t>
            </w:r>
          </w:p>
        </w:tc>
      </w:tr>
      <w:tr w14:paraId="6333F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auto"/>
            <w:vAlign w:val="center"/>
          </w:tcPr>
          <w:p w14:paraId="160F25EC">
            <w:pPr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27C58EA5">
            <w:pPr>
              <w:widowControl/>
              <w:adjustRightInd w:val="0"/>
              <w:snapToGrid w:val="0"/>
              <w:spacing w:after="0"/>
              <w:jc w:val="both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sym w:font="Wingdings" w:char="00A8"/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t xml:space="preserve"> 1、在同一相关市场，所有参与集中的经营者所占市场份额之和小于15%。</w:t>
            </w:r>
          </w:p>
        </w:tc>
      </w:tr>
      <w:tr w14:paraId="426BE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 w14:paraId="62312FC6">
            <w:pPr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82431E8">
            <w:pPr>
              <w:widowControl/>
              <w:adjustRightInd w:val="0"/>
              <w:snapToGrid w:val="0"/>
              <w:spacing w:after="0"/>
              <w:jc w:val="both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sym w:font="Wingdings" w:char="00A8"/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t xml:space="preserve"> 2、存在上下游关系的参与集中的经营者，在上下游市场所占的市场份额均小于25%。</w:t>
            </w:r>
          </w:p>
        </w:tc>
      </w:tr>
      <w:tr w14:paraId="42743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 w14:paraId="2C19204F">
            <w:pPr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A3D2F49">
            <w:pPr>
              <w:widowControl/>
              <w:adjustRightInd w:val="0"/>
              <w:snapToGrid w:val="0"/>
              <w:spacing w:after="0"/>
              <w:jc w:val="both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sym w:font="Wingdings" w:char="00A8"/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14:paraId="5C229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 w14:paraId="2006FAE9">
            <w:pPr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25A38E1">
            <w:pPr>
              <w:widowControl/>
              <w:adjustRightInd w:val="0"/>
              <w:snapToGrid w:val="0"/>
              <w:spacing w:after="0"/>
              <w:jc w:val="both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sym w:font="Wingdings" w:char="00FE"/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t xml:space="preserve"> 4、参与集中的经营者在中国境外设立合营企业，合营企业不在中国境内从事经济活动。</w:t>
            </w:r>
          </w:p>
        </w:tc>
      </w:tr>
      <w:tr w14:paraId="5F54B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 w14:paraId="7B3AF486">
            <w:pPr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A4D4890">
            <w:pPr>
              <w:widowControl/>
              <w:adjustRightInd w:val="0"/>
              <w:snapToGrid w:val="0"/>
              <w:spacing w:after="0"/>
              <w:jc w:val="both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sym w:font="Wingdings" w:char="00A8"/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t xml:space="preserve"> 5、参与集中的经营者收购境外企业股权或资产的，该境外企业不在中国境内从事经济活动。</w:t>
            </w:r>
          </w:p>
        </w:tc>
      </w:tr>
      <w:tr w14:paraId="4F787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 w14:paraId="386A417D">
            <w:pPr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19839DC">
            <w:pPr>
              <w:widowControl/>
              <w:adjustRightInd w:val="0"/>
              <w:snapToGrid w:val="0"/>
              <w:spacing w:after="0"/>
              <w:jc w:val="both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sym w:font="Wingdings" w:char="00A8"/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t xml:space="preserve"> 6、由两个以上的经营者共同控制的合营企业，通过集中被其中一个或一个以上经营者控制。</w:t>
            </w:r>
          </w:p>
        </w:tc>
      </w:tr>
      <w:tr w14:paraId="3580F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940" w:type="dxa"/>
            <w:shd w:val="clear" w:color="auto" w:fill="auto"/>
            <w:vAlign w:val="center"/>
          </w:tcPr>
          <w:p w14:paraId="318232FC">
            <w:pPr>
              <w:widowControl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110069A2">
            <w:pPr>
              <w:widowControl w:val="0"/>
              <w:adjustRightInd w:val="0"/>
              <w:snapToGrid w:val="0"/>
              <w:spacing w:after="0"/>
              <w:jc w:val="both"/>
              <w:rPr>
                <w:rFonts w:hint="default" w:ascii="Times New Roman" w:hAnsi="Times New Roman" w:eastAsia="宋体" w:cs="Times New Roman"/>
                <w:b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  <w:t>不适用</w:t>
            </w:r>
          </w:p>
        </w:tc>
      </w:tr>
    </w:tbl>
    <w:p w14:paraId="7C07A9A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647F68"/>
    <w:rsid w:val="52647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2025-03-10T02:02:00Z</dcterms:created>
  <dc:creator>汗青</dc:creator>
  <cp:lastModifiedBy>汗青</cp:lastModifiedBy>
  <dcterms:modified xsi:type="dcterms:W3CDTF">2025-03-10T02:03:00Z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CA213168E6D04E18A707357DE54FE99E_11</vt:lpwstr>
  </property>
  <property fmtid="{D5CDD505-2E9C-101B-9397-08002B2CF9AE}" pid="4" name="KSOTemplateDocerSaveRecord">
    <vt:lpwstr>eyJoZGlkIjoiNDQzMGY5ZWI0OWM3ZDY2ZDVhMWJmNzNkNjA0OTkyOWYiLCJ1c2VySWQiOiIzNzgxNDI0MDcifQ==</vt:lpwstr>
  </property>
</Properties>
</file>