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F36040">
      <w:pPr>
        <w:keepNext w:val="0"/>
        <w:keepLines w:val="0"/>
        <w:widowControl/>
        <w:suppressLineNumbers w:val="0"/>
        <w:spacing w:before="0" w:beforeAutospacing="0" w:after="240" w:afterAutospacing="0"/>
        <w:ind w:left="0" w:right="0"/>
        <w:jc w:val="center"/>
        <w:rPr>
          <w:rFonts w:hint="eastAsia" w:ascii="方正小标宋简体" w:hAnsi="方正小标宋简体" w:eastAsia="方正小标宋简体" w:cs="方正小标宋简体"/>
          <w:kern w:val="0"/>
          <w:sz w:val="44"/>
          <w:szCs w:val="44"/>
          <w:lang w:val="en-GB" w:eastAsia="zh-CN" w:bidi="ar"/>
        </w:rPr>
      </w:pPr>
      <w:bookmarkStart w:id="0" w:name="_GoBack"/>
      <w:bookmarkEnd w:id="0"/>
      <w:r>
        <w:rPr>
          <w:rFonts w:hint="eastAsia" w:ascii="方正小标宋简体" w:hAnsi="方正小标宋简体" w:eastAsia="方正小标宋简体" w:cs="方正小标宋简体"/>
          <w:kern w:val="0"/>
          <w:sz w:val="44"/>
          <w:szCs w:val="44"/>
          <w:lang w:val="en-GB" w:eastAsia="zh-CN" w:bidi="ar"/>
        </w:rPr>
        <w:t>经营者集中简易案件公示表</w:t>
      </w:r>
    </w:p>
    <w:tbl>
      <w:tblPr>
        <w:tblStyle w:val="1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568A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40C400FA">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案件名称</w:t>
            </w:r>
          </w:p>
        </w:tc>
        <w:tc>
          <w:tcPr>
            <w:tcW w:w="7700" w:type="dxa"/>
            <w:gridSpan w:val="2"/>
            <w:vAlign w:val="center"/>
          </w:tcPr>
          <w:p w14:paraId="34EE9448">
            <w:pPr>
              <w:widowControl/>
              <w:adjustRightInd w:val="0"/>
              <w:snapToGrid w:val="0"/>
              <w:rPr>
                <w:rFonts w:hint="default" w:ascii="Times New Roman" w:hAnsi="Times New Roman" w:cs="Times New Roman"/>
                <w:bCs/>
                <w:color w:val="000000"/>
                <w:sz w:val="24"/>
              </w:rPr>
            </w:pPr>
            <w:r>
              <w:rPr>
                <w:rFonts w:hint="default" w:ascii="Times New Roman" w:hAnsi="Times New Roman" w:cs="Times New Roman"/>
                <w:sz w:val="24"/>
              </w:rPr>
              <w:t>山东华泰纸业股份有限公司收购广西华泰华友化工新材料有限公司股权案</w:t>
            </w:r>
          </w:p>
        </w:tc>
      </w:tr>
      <w:tr w14:paraId="48E2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4A2E95D0">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交易概况（限200字内）</w:t>
            </w:r>
          </w:p>
        </w:tc>
        <w:tc>
          <w:tcPr>
            <w:tcW w:w="7700" w:type="dxa"/>
            <w:gridSpan w:val="2"/>
            <w:vAlign w:val="center"/>
          </w:tcPr>
          <w:p w14:paraId="11EEBCBC">
            <w:pPr>
              <w:widowControl/>
              <w:adjustRightInd w:val="0"/>
              <w:snapToGrid w:val="0"/>
              <w:rPr>
                <w:rFonts w:hint="default" w:ascii="Times New Roman" w:hAnsi="Times New Roman" w:cs="Times New Roman"/>
                <w:sz w:val="24"/>
              </w:rPr>
            </w:pPr>
            <w:r>
              <w:rPr>
                <w:rFonts w:hint="default" w:ascii="Times New Roman" w:hAnsi="Times New Roman" w:cs="Times New Roman"/>
                <w:sz w:val="24"/>
              </w:rPr>
              <w:t>山东华泰纸业股份有限公司（“华泰股份”）通过全资子公司东营华泰化工集团有限公司（“华泰化工”）与华友控股集团有限公司（“华友集团”）、广西华泰华友化工新材料有限公司（“华泰华友”）签署协议，拟收购华泰华友51%股权，并按持股比例向华泰华友增资。华泰华友主要从事烧碱等化工产品生产销售。交易前，华友集团持有华泰华友100%股权，单独控制华泰华友。交易后，华泰股份、华友集团分别持有合营企业51%、49%股权，共同控制合营企业。</w:t>
            </w:r>
          </w:p>
        </w:tc>
      </w:tr>
      <w:tr w14:paraId="5A89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14:paraId="43686D4D">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参与集中的经营者简介（每个限100字内）</w:t>
            </w:r>
          </w:p>
        </w:tc>
        <w:tc>
          <w:tcPr>
            <w:tcW w:w="1476" w:type="dxa"/>
            <w:vAlign w:val="center"/>
          </w:tcPr>
          <w:p w14:paraId="2266BAF4">
            <w:pPr>
              <w:pStyle w:val="7"/>
              <w:widowControl/>
              <w:adjustRightInd w:val="0"/>
              <w:snapToGrid w:val="0"/>
              <w:spacing w:after="0"/>
              <w:rPr>
                <w:rFonts w:hint="eastAsia" w:ascii="Times New Roman" w:hAnsi="Times New Roman" w:eastAsia="宋体" w:cs="Times New Roman"/>
                <w:bCs/>
                <w:color w:val="000000"/>
                <w:sz w:val="24"/>
                <w:lang w:val="en-US" w:eastAsia="zh-CN"/>
              </w:rPr>
            </w:pPr>
            <w:r>
              <w:rPr>
                <w:rFonts w:hint="default" w:ascii="Times New Roman" w:hAnsi="Times New Roman" w:cs="Times New Roman"/>
                <w:bCs/>
                <w:color w:val="000000"/>
                <w:sz w:val="24"/>
                <w:lang w:val="en-US" w:eastAsia="zh-CN"/>
              </w:rPr>
              <w:t>1</w:t>
            </w:r>
            <w:r>
              <w:rPr>
                <w:rFonts w:hint="default" w:ascii="Times New Roman" w:hAnsi="Times New Roman" w:cs="Times New Roman"/>
                <w:sz w:val="24"/>
              </w:rPr>
              <w:t>.华泰股份</w:t>
            </w:r>
          </w:p>
        </w:tc>
        <w:tc>
          <w:tcPr>
            <w:tcW w:w="6224" w:type="dxa"/>
            <w:vAlign w:val="center"/>
          </w:tcPr>
          <w:p w14:paraId="2956ADBE">
            <w:pPr>
              <w:pStyle w:val="7"/>
              <w:widowControl/>
              <w:adjustRightInd w:val="0"/>
              <w:snapToGrid w:val="0"/>
              <w:spacing w:after="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华泰股份于1993年6月6日成立于山东省东营市，为上海证券交易所上市公司，主要业务为造纸和化工。</w:t>
            </w:r>
          </w:p>
          <w:p w14:paraId="60FC70B0">
            <w:pPr>
              <w:pStyle w:val="7"/>
              <w:widowControl/>
              <w:adjustRightInd w:val="0"/>
              <w:snapToGrid w:val="0"/>
              <w:spacing w:after="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华泰股份最终控制人为自然人，主要业务同华泰股份的主要业务。</w:t>
            </w:r>
          </w:p>
        </w:tc>
      </w:tr>
      <w:tr w14:paraId="63975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39FB5333">
            <w:pPr>
              <w:pStyle w:val="7"/>
              <w:widowControl/>
              <w:adjustRightInd w:val="0"/>
              <w:snapToGrid w:val="0"/>
              <w:spacing w:after="0"/>
              <w:jc w:val="center"/>
              <w:rPr>
                <w:rFonts w:hint="default" w:ascii="Times New Roman" w:hAnsi="Times New Roman" w:cs="Times New Roman"/>
                <w:bCs/>
                <w:color w:val="000000"/>
                <w:sz w:val="24"/>
              </w:rPr>
            </w:pPr>
          </w:p>
        </w:tc>
        <w:tc>
          <w:tcPr>
            <w:tcW w:w="1476" w:type="dxa"/>
            <w:vAlign w:val="center"/>
          </w:tcPr>
          <w:p w14:paraId="380B706B">
            <w:pPr>
              <w:pStyle w:val="7"/>
              <w:widowControl/>
              <w:adjustRightInd w:val="0"/>
              <w:snapToGrid w:val="0"/>
              <w:spacing w:after="0"/>
              <w:rPr>
                <w:rFonts w:hint="default" w:ascii="Times New Roman" w:hAnsi="Times New Roman" w:cs="Times New Roman"/>
                <w:bCs/>
                <w:color w:val="000000"/>
                <w:sz w:val="24"/>
                <w:lang w:val="en-US" w:eastAsia="zh-CN"/>
              </w:rPr>
            </w:pPr>
            <w:r>
              <w:rPr>
                <w:rFonts w:hint="default" w:ascii="Times New Roman" w:hAnsi="Times New Roman" w:cs="Times New Roman"/>
                <w:bCs/>
                <w:color w:val="000000"/>
                <w:sz w:val="24"/>
                <w:lang w:val="en-US" w:eastAsia="zh-CN"/>
              </w:rPr>
              <w:t>2.华友集团</w:t>
            </w:r>
          </w:p>
        </w:tc>
        <w:tc>
          <w:tcPr>
            <w:tcW w:w="6224" w:type="dxa"/>
            <w:vAlign w:val="center"/>
          </w:tcPr>
          <w:p w14:paraId="79EE7ADA">
            <w:pPr>
              <w:pStyle w:val="7"/>
              <w:widowControl/>
              <w:adjustRightInd w:val="0"/>
              <w:snapToGrid w:val="0"/>
              <w:spacing w:after="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华友集团于2006年12月19日成立于浙江省嘉兴市，主要业务为新能源锂电材料的研发、制造和销售。</w:t>
            </w:r>
          </w:p>
          <w:p w14:paraId="50E378A8">
            <w:pPr>
              <w:pStyle w:val="7"/>
              <w:widowControl/>
              <w:adjustRightInd w:val="0"/>
              <w:snapToGrid w:val="0"/>
              <w:spacing w:after="0"/>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华友集团的最终控制人为自然人，主要业务同华友集团的主要业务。</w:t>
            </w:r>
          </w:p>
        </w:tc>
      </w:tr>
      <w:tr w14:paraId="1A733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7458DC20">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简易案件理由（可以单选，也可以多选）</w:t>
            </w:r>
          </w:p>
        </w:tc>
        <w:tc>
          <w:tcPr>
            <w:tcW w:w="7700" w:type="dxa"/>
            <w:gridSpan w:val="2"/>
            <w:vAlign w:val="center"/>
          </w:tcPr>
          <w:p w14:paraId="5042048E">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1、在同一相关市场，所有参与集中的经营者所占市场份额之和小于15%。</w:t>
            </w:r>
          </w:p>
        </w:tc>
      </w:tr>
      <w:tr w14:paraId="69327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0597B9B2">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65252289">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FE"/>
            </w:r>
            <w:r>
              <w:rPr>
                <w:rFonts w:hint="default" w:ascii="Times New Roman" w:hAnsi="Times New Roman" w:cs="Times New Roman"/>
                <w:bCs/>
                <w:color w:val="000000"/>
                <w:sz w:val="24"/>
              </w:rPr>
              <w:t xml:space="preserve"> 2、存在上下游关系的参与集中的经营者，在上下游市场所占的市场份额均小于25%。</w:t>
            </w:r>
          </w:p>
        </w:tc>
      </w:tr>
      <w:tr w14:paraId="31B2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50F07351">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E7D69A1">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3、不在同一相关市场、也不存在上下游关系的参与集中的经营者，在与交易有关的每个市场所占的份额均小于25%。</w:t>
            </w:r>
          </w:p>
        </w:tc>
      </w:tr>
      <w:tr w14:paraId="20498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14:paraId="7D31430A">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57F2B557">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4、参与集中的经营者在中国境外设立合营企业，合营企业不在中国境内从事经济活动。</w:t>
            </w:r>
          </w:p>
        </w:tc>
      </w:tr>
      <w:tr w14:paraId="5593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2EBF9B70">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9613F33">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5、参与集中的经营者收购境外企业股权或资产的，该境外企业不在中国境内从事经济活动。</w:t>
            </w:r>
          </w:p>
        </w:tc>
      </w:tr>
      <w:tr w14:paraId="36D84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1B7A481F">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1A919A8">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6、由两个以上的经营者共同控制的合营企业，通过集中被其中一个或一个以上经营者控制。</w:t>
            </w:r>
          </w:p>
        </w:tc>
      </w:tr>
      <w:tr w14:paraId="3CDF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40" w:type="dxa"/>
            <w:shd w:val="clear" w:color="auto" w:fill="D9D9D9"/>
            <w:vAlign w:val="center"/>
          </w:tcPr>
          <w:p w14:paraId="58FEA76D">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备注</w:t>
            </w:r>
          </w:p>
        </w:tc>
        <w:tc>
          <w:tcPr>
            <w:tcW w:w="7700" w:type="dxa"/>
            <w:gridSpan w:val="2"/>
            <w:vAlign w:val="center"/>
          </w:tcPr>
          <w:p w14:paraId="438AEDDD">
            <w:pPr>
              <w:pStyle w:val="23"/>
              <w:kinsoku/>
              <w:wordWrap w:val="0"/>
              <w:spacing w:after="0"/>
              <w:ind w:firstLine="116" w:firstLineChars="50"/>
              <w:rPr>
                <w:rFonts w:ascii="宋体" w:hAnsi="宋体" w:eastAsia="宋体" w:cs="Times New Roman"/>
                <w:b/>
                <w:bCs/>
                <w:spacing w:val="-4"/>
                <w:lang w:eastAsia="zh-CN"/>
              </w:rPr>
            </w:pPr>
            <w:r>
              <w:rPr>
                <w:rFonts w:ascii="宋体" w:hAnsi="宋体" w:eastAsia="宋体" w:cs="Times New Roman"/>
                <w:b/>
                <w:bCs/>
                <w:spacing w:val="-4"/>
                <w:lang w:eastAsia="zh-CN"/>
              </w:rPr>
              <w:t>纵向关联：</w:t>
            </w:r>
          </w:p>
          <w:tbl>
            <w:tblPr>
              <w:tblStyle w:val="24"/>
              <w:tblW w:w="7444" w:type="dxa"/>
              <w:tblInd w:w="11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41"/>
              <w:gridCol w:w="1984"/>
              <w:gridCol w:w="3119"/>
            </w:tblGrid>
            <w:tr w14:paraId="5F7F23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9" w:hRule="atLeast"/>
              </w:trPr>
              <w:tc>
                <w:tcPr>
                  <w:tcW w:w="2341" w:type="dxa"/>
                  <w:tcBorders>
                    <w:top w:val="single" w:color="000000" w:sz="2" w:space="0"/>
                    <w:left w:val="single" w:color="000000" w:sz="2" w:space="0"/>
                    <w:bottom w:val="single" w:color="000000" w:sz="2" w:space="0"/>
                    <w:right w:val="single" w:color="000000" w:sz="2" w:space="0"/>
                  </w:tcBorders>
                  <w:vAlign w:val="center"/>
                </w:tcPr>
                <w:p w14:paraId="59094DDD">
                  <w:pPr>
                    <w:pStyle w:val="23"/>
                    <w:kinsoku/>
                    <w:wordWrap w:val="0"/>
                    <w:spacing w:after="0"/>
                    <w:jc w:val="center"/>
                    <w:rPr>
                      <w:rFonts w:ascii="宋体" w:hAnsi="宋体" w:eastAsia="宋体" w:cs="Times New Roman"/>
                      <w:lang w:eastAsia="zh-CN"/>
                    </w:rPr>
                  </w:pPr>
                  <w:r>
                    <w:rPr>
                      <w:rFonts w:hint="eastAsia" w:ascii="宋体" w:hAnsi="宋体" w:eastAsia="宋体" w:cs="Times New Roman"/>
                      <w:spacing w:val="-1"/>
                      <w:lang w:eastAsia="zh-CN"/>
                    </w:rPr>
                    <w:t>相关商品市场</w:t>
                  </w:r>
                </w:p>
              </w:tc>
              <w:tc>
                <w:tcPr>
                  <w:tcW w:w="1984" w:type="dxa"/>
                  <w:tcBorders>
                    <w:top w:val="single" w:color="000000" w:sz="2" w:space="0"/>
                    <w:left w:val="single" w:color="000000" w:sz="2" w:space="0"/>
                    <w:bottom w:val="single" w:color="000000" w:sz="2" w:space="0"/>
                    <w:right w:val="single" w:color="000000" w:sz="2" w:space="0"/>
                  </w:tcBorders>
                  <w:vAlign w:val="center"/>
                </w:tcPr>
                <w:p w14:paraId="0189A303">
                  <w:pPr>
                    <w:pStyle w:val="23"/>
                    <w:kinsoku/>
                    <w:wordWrap w:val="0"/>
                    <w:spacing w:after="0"/>
                    <w:jc w:val="center"/>
                    <w:rPr>
                      <w:rFonts w:ascii="宋体" w:hAnsi="宋体" w:eastAsia="宋体" w:cs="Times New Roman"/>
                      <w:lang w:eastAsia="zh-CN"/>
                    </w:rPr>
                  </w:pPr>
                  <w:r>
                    <w:rPr>
                      <w:rFonts w:hint="eastAsia" w:ascii="宋体" w:hAnsi="宋体" w:eastAsia="宋体" w:cs="Times New Roman"/>
                      <w:spacing w:val="-1"/>
                      <w:lang w:eastAsia="zh-CN"/>
                    </w:rPr>
                    <w:t>相关地域市场</w:t>
                  </w:r>
                </w:p>
              </w:tc>
              <w:tc>
                <w:tcPr>
                  <w:tcW w:w="3119" w:type="dxa"/>
                  <w:tcBorders>
                    <w:top w:val="single" w:color="000000" w:sz="2" w:space="0"/>
                    <w:left w:val="single" w:color="000000" w:sz="2" w:space="0"/>
                    <w:bottom w:val="single" w:color="000000" w:sz="2" w:space="0"/>
                    <w:right w:val="single" w:color="000000" w:sz="2" w:space="0"/>
                  </w:tcBorders>
                  <w:vAlign w:val="center"/>
                </w:tcPr>
                <w:p w14:paraId="10C36AC2">
                  <w:pPr>
                    <w:pStyle w:val="23"/>
                    <w:kinsoku/>
                    <w:wordWrap w:val="0"/>
                    <w:spacing w:after="0"/>
                    <w:jc w:val="center"/>
                    <w:rPr>
                      <w:rFonts w:ascii="宋体" w:hAnsi="宋体" w:eastAsia="宋体" w:cs="Times New Roman"/>
                      <w:lang w:eastAsia="zh-CN"/>
                    </w:rPr>
                  </w:pPr>
                  <w:r>
                    <w:rPr>
                      <w:rFonts w:hint="eastAsia" w:ascii="宋体" w:hAnsi="宋体" w:eastAsia="宋体" w:cs="Times New Roman"/>
                      <w:spacing w:val="6"/>
                      <w:lang w:eastAsia="zh-CN"/>
                    </w:rPr>
                    <w:t>2024年市场份额</w:t>
                  </w:r>
                </w:p>
              </w:tc>
            </w:tr>
            <w:tr w14:paraId="168928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4" w:hRule="atLeast"/>
              </w:trPr>
              <w:tc>
                <w:tcPr>
                  <w:tcW w:w="2341" w:type="dxa"/>
                  <w:tcBorders>
                    <w:top w:val="single" w:color="000000" w:sz="2" w:space="0"/>
                    <w:left w:val="single" w:color="000000" w:sz="2" w:space="0"/>
                    <w:bottom w:val="single" w:color="000000" w:sz="2" w:space="0"/>
                    <w:right w:val="single" w:color="000000" w:sz="2" w:space="0"/>
                  </w:tcBorders>
                  <w:vAlign w:val="center"/>
                </w:tcPr>
                <w:p w14:paraId="2F6198A6">
                  <w:pPr>
                    <w:pStyle w:val="23"/>
                    <w:kinsoku/>
                    <w:wordWrap w:val="0"/>
                    <w:spacing w:after="0"/>
                    <w:jc w:val="both"/>
                    <w:rPr>
                      <w:rFonts w:ascii="宋体" w:hAnsi="宋体" w:eastAsia="宋体" w:cs="Times New Roman"/>
                      <w:spacing w:val="9"/>
                      <w:lang w:eastAsia="zh-CN"/>
                    </w:rPr>
                  </w:pPr>
                  <w:r>
                    <w:rPr>
                      <w:rFonts w:hint="eastAsia" w:ascii="宋体" w:hAnsi="宋体" w:eastAsia="宋体" w:cs="Times New Roman"/>
                      <w:spacing w:val="9"/>
                      <w:lang w:eastAsia="zh-CN"/>
                    </w:rPr>
                    <w:t>上游：烧碱市场</w:t>
                  </w:r>
                </w:p>
                <w:p w14:paraId="631C6DB7">
                  <w:pPr>
                    <w:pStyle w:val="23"/>
                    <w:kinsoku/>
                    <w:wordWrap w:val="0"/>
                    <w:spacing w:after="0"/>
                    <w:jc w:val="both"/>
                    <w:rPr>
                      <w:rFonts w:ascii="宋体" w:hAnsi="宋体" w:eastAsia="宋体" w:cs="Times New Roman"/>
                      <w:spacing w:val="9"/>
                      <w:lang w:eastAsia="zh-CN"/>
                    </w:rPr>
                  </w:pPr>
                  <w:r>
                    <w:rPr>
                      <w:rFonts w:hint="eastAsia" w:ascii="宋体" w:hAnsi="宋体" w:eastAsia="宋体" w:cs="Times New Roman"/>
                      <w:spacing w:val="9"/>
                      <w:lang w:eastAsia="zh-CN"/>
                    </w:rPr>
                    <w:t>下游：镍钴锰三元前驱体市场</w:t>
                  </w:r>
                </w:p>
              </w:tc>
              <w:tc>
                <w:tcPr>
                  <w:tcW w:w="1984" w:type="dxa"/>
                  <w:tcBorders>
                    <w:top w:val="single" w:color="000000" w:sz="2" w:space="0"/>
                    <w:left w:val="single" w:color="000000" w:sz="2" w:space="0"/>
                    <w:bottom w:val="single" w:color="000000" w:sz="2" w:space="0"/>
                    <w:right w:val="single" w:color="000000" w:sz="2" w:space="0"/>
                  </w:tcBorders>
                  <w:vAlign w:val="center"/>
                </w:tcPr>
                <w:p w14:paraId="616035FA">
                  <w:pPr>
                    <w:pStyle w:val="23"/>
                    <w:kinsoku/>
                    <w:wordWrap w:val="0"/>
                    <w:spacing w:after="0"/>
                    <w:ind w:left="110"/>
                    <w:jc w:val="both"/>
                    <w:rPr>
                      <w:rFonts w:ascii="宋体" w:hAnsi="宋体" w:eastAsia="宋体" w:cs="Times New Roman"/>
                      <w:lang w:eastAsia="zh-CN"/>
                    </w:rPr>
                  </w:pPr>
                  <w:r>
                    <w:rPr>
                      <w:rFonts w:hint="eastAsia" w:ascii="宋体" w:hAnsi="宋体" w:eastAsia="宋体" w:cs="Times New Roman"/>
                      <w:spacing w:val="-6"/>
                      <w:lang w:eastAsia="zh-CN"/>
                    </w:rPr>
                    <w:t>上游：中国境内</w:t>
                  </w:r>
                </w:p>
                <w:p w14:paraId="47839B07">
                  <w:pPr>
                    <w:pStyle w:val="23"/>
                    <w:kinsoku/>
                    <w:wordWrap w:val="0"/>
                    <w:spacing w:after="0"/>
                    <w:jc w:val="both"/>
                    <w:rPr>
                      <w:rFonts w:ascii="宋体" w:hAnsi="宋体" w:eastAsia="宋体" w:cs="Times New Roman"/>
                      <w:spacing w:val="-6"/>
                      <w:lang w:eastAsia="zh-CN"/>
                    </w:rPr>
                  </w:pPr>
                </w:p>
                <w:p w14:paraId="3179E7E7">
                  <w:pPr>
                    <w:pStyle w:val="23"/>
                    <w:kinsoku/>
                    <w:wordWrap w:val="0"/>
                    <w:spacing w:after="0"/>
                    <w:ind w:left="110"/>
                    <w:jc w:val="both"/>
                    <w:rPr>
                      <w:rFonts w:ascii="宋体" w:hAnsi="宋体" w:eastAsia="宋体" w:cs="Times New Roman"/>
                      <w:lang w:eastAsia="zh-CN"/>
                    </w:rPr>
                  </w:pPr>
                  <w:r>
                    <w:rPr>
                      <w:rFonts w:hint="eastAsia" w:ascii="宋体" w:hAnsi="宋体" w:eastAsia="宋体" w:cs="Times New Roman"/>
                      <w:spacing w:val="-6"/>
                      <w:lang w:eastAsia="zh-CN"/>
                    </w:rPr>
                    <w:t>下游：全球</w:t>
                  </w:r>
                </w:p>
              </w:tc>
              <w:tc>
                <w:tcPr>
                  <w:tcW w:w="3119" w:type="dxa"/>
                  <w:tcBorders>
                    <w:top w:val="single" w:color="000000" w:sz="2" w:space="0"/>
                    <w:left w:val="single" w:color="000000" w:sz="2" w:space="0"/>
                    <w:bottom w:val="single" w:color="000000" w:sz="2" w:space="0"/>
                    <w:right w:val="single" w:color="000000" w:sz="2" w:space="0"/>
                  </w:tcBorders>
                  <w:vAlign w:val="center"/>
                </w:tcPr>
                <w:p w14:paraId="31C61E6A">
                  <w:pPr>
                    <w:pStyle w:val="23"/>
                    <w:kinsoku/>
                    <w:wordWrap w:val="0"/>
                    <w:spacing w:after="0"/>
                    <w:ind w:left="113"/>
                    <w:jc w:val="both"/>
                    <w:rPr>
                      <w:rFonts w:ascii="宋体" w:hAnsi="宋体" w:eastAsia="宋体" w:cs="Times New Roman"/>
                      <w:lang w:eastAsia="zh-CN"/>
                    </w:rPr>
                  </w:pPr>
                  <w:r>
                    <w:rPr>
                      <w:rFonts w:hint="eastAsia" w:ascii="宋体" w:hAnsi="宋体" w:eastAsia="宋体" w:cs="Times New Roman"/>
                      <w:spacing w:val="9"/>
                      <w:lang w:eastAsia="zh-CN"/>
                    </w:rPr>
                    <w:t>上游：中国境内烧碱市场</w:t>
                  </w:r>
                </w:p>
                <w:p w14:paraId="565BAD17">
                  <w:pPr>
                    <w:pStyle w:val="23"/>
                    <w:kinsoku/>
                    <w:wordWrap w:val="0"/>
                    <w:spacing w:after="0"/>
                    <w:ind w:left="113"/>
                    <w:jc w:val="both"/>
                    <w:rPr>
                      <w:rFonts w:ascii="宋体" w:hAnsi="宋体" w:eastAsia="宋体" w:cs="Times New Roman"/>
                      <w:spacing w:val="9"/>
                      <w:lang w:eastAsia="zh-CN"/>
                    </w:rPr>
                  </w:pPr>
                  <w:r>
                    <w:rPr>
                      <w:rFonts w:hint="eastAsia" w:ascii="宋体" w:hAnsi="宋体" w:eastAsia="宋体" w:cs="Times New Roman"/>
                      <w:spacing w:val="-10"/>
                      <w:lang w:eastAsia="zh-CN"/>
                    </w:rPr>
                    <w:t>华泰股份：</w:t>
                  </w:r>
                  <w:r>
                    <w:rPr>
                      <w:rFonts w:hint="eastAsia" w:ascii="宋体" w:hAnsi="宋体" w:eastAsia="宋体" w:cs="Times New Roman"/>
                      <w:spacing w:val="-10"/>
                      <w:lang w:val="en-US" w:eastAsia="zh-CN"/>
                    </w:rPr>
                    <w:t>0-5%</w:t>
                  </w:r>
                </w:p>
                <w:p w14:paraId="52D69CE1">
                  <w:pPr>
                    <w:pStyle w:val="23"/>
                    <w:kinsoku/>
                    <w:wordWrap w:val="0"/>
                    <w:spacing w:after="0"/>
                    <w:ind w:left="113"/>
                    <w:jc w:val="both"/>
                    <w:rPr>
                      <w:rFonts w:ascii="宋体" w:hAnsi="宋体" w:eastAsia="宋体" w:cs="Times New Roman"/>
                      <w:spacing w:val="9"/>
                      <w:lang w:eastAsia="zh-CN"/>
                    </w:rPr>
                  </w:pPr>
                  <w:r>
                    <w:rPr>
                      <w:rFonts w:hint="eastAsia" w:ascii="宋体" w:hAnsi="宋体" w:eastAsia="宋体" w:cs="Times New Roman"/>
                      <w:spacing w:val="9"/>
                      <w:lang w:eastAsia="zh-CN"/>
                    </w:rPr>
                    <w:t>下游：全球镍钴锰三元前驱体市场</w:t>
                  </w:r>
                </w:p>
                <w:p w14:paraId="177F4C6A">
                  <w:pPr>
                    <w:pStyle w:val="23"/>
                    <w:kinsoku/>
                    <w:wordWrap w:val="0"/>
                    <w:spacing w:after="0"/>
                    <w:ind w:left="113"/>
                    <w:jc w:val="both"/>
                    <w:rPr>
                      <w:rFonts w:ascii="宋体" w:hAnsi="宋体" w:eastAsia="宋体" w:cs="Times New Roman"/>
                      <w:spacing w:val="-10"/>
                      <w:lang w:eastAsia="zh-CN"/>
                    </w:rPr>
                  </w:pPr>
                  <w:r>
                    <w:rPr>
                      <w:rFonts w:hint="eastAsia" w:ascii="宋体" w:hAnsi="宋体" w:eastAsia="宋体" w:cs="Times New Roman"/>
                      <w:spacing w:val="9"/>
                      <w:lang w:eastAsia="zh-CN"/>
                    </w:rPr>
                    <w:t>华友集团：1</w:t>
                  </w:r>
                  <w:r>
                    <w:rPr>
                      <w:rFonts w:hint="eastAsia" w:ascii="宋体" w:hAnsi="宋体" w:eastAsia="宋体" w:cs="Times New Roman"/>
                      <w:spacing w:val="-10"/>
                      <w:lang w:eastAsia="zh-CN"/>
                    </w:rPr>
                    <w:t>0-15%</w:t>
                  </w:r>
                </w:p>
              </w:tc>
            </w:tr>
            <w:tr w14:paraId="35EE02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43" w:hRule="atLeast"/>
              </w:trPr>
              <w:tc>
                <w:tcPr>
                  <w:tcW w:w="2341" w:type="dxa"/>
                  <w:tcBorders>
                    <w:top w:val="single" w:color="000000" w:sz="2" w:space="0"/>
                    <w:left w:val="single" w:color="000000" w:sz="2" w:space="0"/>
                    <w:bottom w:val="single" w:color="000000" w:sz="2" w:space="0"/>
                    <w:right w:val="single" w:color="000000" w:sz="2" w:space="0"/>
                  </w:tcBorders>
                  <w:vAlign w:val="center"/>
                </w:tcPr>
                <w:p w14:paraId="61812F6F">
                  <w:pPr>
                    <w:pStyle w:val="23"/>
                    <w:kinsoku/>
                    <w:wordWrap w:val="0"/>
                    <w:spacing w:after="0"/>
                    <w:jc w:val="both"/>
                    <w:rPr>
                      <w:rFonts w:ascii="宋体" w:hAnsi="宋体" w:eastAsia="宋体" w:cs="Times New Roman"/>
                      <w:lang w:eastAsia="zh-CN"/>
                    </w:rPr>
                  </w:pPr>
                  <w:r>
                    <w:rPr>
                      <w:rFonts w:hint="eastAsia" w:ascii="宋体" w:hAnsi="宋体" w:eastAsia="宋体" w:cs="Times New Roman"/>
                      <w:spacing w:val="9"/>
                      <w:lang w:eastAsia="zh-CN"/>
                    </w:rPr>
                    <w:t>上游：烧碱市场</w:t>
                  </w:r>
                </w:p>
                <w:p w14:paraId="18648C6B">
                  <w:pPr>
                    <w:pStyle w:val="23"/>
                    <w:kinsoku/>
                    <w:wordWrap w:val="0"/>
                    <w:spacing w:after="0"/>
                    <w:jc w:val="both"/>
                    <w:rPr>
                      <w:rFonts w:ascii="宋体" w:hAnsi="宋体" w:eastAsia="宋体" w:cs="Times New Roman"/>
                      <w:spacing w:val="9"/>
                      <w:lang w:eastAsia="zh-CN"/>
                    </w:rPr>
                  </w:pPr>
                  <w:r>
                    <w:rPr>
                      <w:rFonts w:hint="eastAsia" w:ascii="宋体" w:hAnsi="宋体" w:eastAsia="宋体" w:cs="Times New Roman"/>
                      <w:spacing w:val="9"/>
                      <w:lang w:eastAsia="zh-CN"/>
                    </w:rPr>
                    <w:t>下游：电解钴市场</w:t>
                  </w:r>
                </w:p>
              </w:tc>
              <w:tc>
                <w:tcPr>
                  <w:tcW w:w="1984" w:type="dxa"/>
                  <w:tcBorders>
                    <w:top w:val="single" w:color="000000" w:sz="2" w:space="0"/>
                    <w:left w:val="single" w:color="000000" w:sz="2" w:space="0"/>
                    <w:bottom w:val="single" w:color="000000" w:sz="2" w:space="0"/>
                    <w:right w:val="single" w:color="000000" w:sz="2" w:space="0"/>
                  </w:tcBorders>
                  <w:vAlign w:val="center"/>
                </w:tcPr>
                <w:p w14:paraId="08238730">
                  <w:pPr>
                    <w:pStyle w:val="23"/>
                    <w:kinsoku/>
                    <w:wordWrap w:val="0"/>
                    <w:spacing w:after="0"/>
                    <w:ind w:left="110"/>
                    <w:jc w:val="both"/>
                    <w:rPr>
                      <w:rFonts w:ascii="宋体" w:hAnsi="宋体" w:eastAsia="宋体" w:cs="Times New Roman"/>
                      <w:spacing w:val="-1"/>
                      <w:lang w:eastAsia="zh-CN"/>
                    </w:rPr>
                  </w:pPr>
                  <w:r>
                    <w:rPr>
                      <w:rFonts w:hint="eastAsia" w:ascii="宋体" w:hAnsi="宋体" w:eastAsia="宋体" w:cs="Times New Roman"/>
                      <w:spacing w:val="-6"/>
                      <w:lang w:eastAsia="zh-CN"/>
                    </w:rPr>
                    <w:t>上游：中国境内</w:t>
                  </w:r>
                </w:p>
                <w:p w14:paraId="69879DA3">
                  <w:pPr>
                    <w:pStyle w:val="23"/>
                    <w:kinsoku/>
                    <w:wordWrap w:val="0"/>
                    <w:spacing w:after="0"/>
                    <w:ind w:left="110"/>
                    <w:jc w:val="both"/>
                    <w:rPr>
                      <w:rFonts w:ascii="宋体" w:hAnsi="宋体" w:eastAsia="宋体" w:cs="Times New Roman"/>
                      <w:spacing w:val="-6"/>
                      <w:lang w:eastAsia="zh-CN"/>
                    </w:rPr>
                  </w:pPr>
                  <w:r>
                    <w:rPr>
                      <w:rFonts w:hint="eastAsia" w:ascii="宋体" w:hAnsi="宋体" w:eastAsia="宋体" w:cs="Times New Roman"/>
                      <w:spacing w:val="-1"/>
                      <w:lang w:eastAsia="zh-CN"/>
                    </w:rPr>
                    <w:t>下游：全球</w:t>
                  </w:r>
                </w:p>
              </w:tc>
              <w:tc>
                <w:tcPr>
                  <w:tcW w:w="3119" w:type="dxa"/>
                  <w:tcBorders>
                    <w:top w:val="single" w:color="000000" w:sz="2" w:space="0"/>
                    <w:left w:val="single" w:color="000000" w:sz="2" w:space="0"/>
                    <w:bottom w:val="single" w:color="000000" w:sz="2" w:space="0"/>
                    <w:right w:val="single" w:color="000000" w:sz="2" w:space="0"/>
                  </w:tcBorders>
                  <w:vAlign w:val="center"/>
                </w:tcPr>
                <w:p w14:paraId="1A5850BF">
                  <w:pPr>
                    <w:pStyle w:val="23"/>
                    <w:kinsoku/>
                    <w:wordWrap w:val="0"/>
                    <w:spacing w:after="0"/>
                    <w:ind w:left="113"/>
                    <w:jc w:val="both"/>
                    <w:rPr>
                      <w:rFonts w:ascii="宋体" w:hAnsi="宋体" w:eastAsia="宋体" w:cs="Times New Roman"/>
                      <w:lang w:eastAsia="zh-CN"/>
                    </w:rPr>
                  </w:pPr>
                  <w:r>
                    <w:rPr>
                      <w:rFonts w:hint="eastAsia" w:ascii="宋体" w:hAnsi="宋体" w:eastAsia="宋体" w:cs="Times New Roman"/>
                      <w:spacing w:val="9"/>
                      <w:lang w:eastAsia="zh-CN"/>
                    </w:rPr>
                    <w:t>上游：中国境内烧碱市场</w:t>
                  </w:r>
                </w:p>
                <w:p w14:paraId="7EBBE7B2">
                  <w:pPr>
                    <w:pStyle w:val="23"/>
                    <w:kinsoku/>
                    <w:wordWrap w:val="0"/>
                    <w:spacing w:after="0"/>
                    <w:ind w:left="111"/>
                    <w:jc w:val="both"/>
                    <w:rPr>
                      <w:rFonts w:ascii="宋体" w:hAnsi="宋体" w:eastAsia="宋体" w:cs="Times New Roman"/>
                      <w:spacing w:val="9"/>
                      <w:lang w:eastAsia="zh-CN"/>
                    </w:rPr>
                  </w:pPr>
                  <w:r>
                    <w:rPr>
                      <w:rFonts w:hint="eastAsia" w:ascii="宋体" w:hAnsi="宋体" w:eastAsia="宋体" w:cs="Times New Roman"/>
                      <w:spacing w:val="-10"/>
                      <w:lang w:eastAsia="zh-CN"/>
                    </w:rPr>
                    <w:t>华泰股份：</w:t>
                  </w:r>
                  <w:r>
                    <w:rPr>
                      <w:rFonts w:hint="eastAsia" w:ascii="宋体" w:hAnsi="宋体" w:eastAsia="宋体" w:cs="Times New Roman"/>
                      <w:spacing w:val="-1"/>
                      <w:lang w:eastAsia="zh-CN"/>
                    </w:rPr>
                    <w:t>如上所述</w:t>
                  </w:r>
                </w:p>
                <w:p w14:paraId="7BA245AA">
                  <w:pPr>
                    <w:pStyle w:val="23"/>
                    <w:kinsoku/>
                    <w:wordWrap w:val="0"/>
                    <w:spacing w:after="0"/>
                    <w:ind w:left="113"/>
                    <w:jc w:val="both"/>
                    <w:rPr>
                      <w:rFonts w:ascii="宋体" w:hAnsi="宋体" w:eastAsia="宋体" w:cs="Times New Roman"/>
                      <w:lang w:eastAsia="zh-CN"/>
                    </w:rPr>
                  </w:pPr>
                  <w:r>
                    <w:rPr>
                      <w:rFonts w:hint="eastAsia" w:ascii="宋体" w:hAnsi="宋体" w:eastAsia="宋体" w:cs="Times New Roman"/>
                      <w:spacing w:val="9"/>
                      <w:lang w:eastAsia="zh-CN"/>
                    </w:rPr>
                    <w:t>下游：</w:t>
                  </w:r>
                  <w:r>
                    <w:rPr>
                      <w:rFonts w:hint="eastAsia" w:ascii="宋体" w:hAnsi="宋体" w:eastAsia="宋体" w:cs="Times New Roman"/>
                      <w:spacing w:val="-1"/>
                      <w:lang w:eastAsia="zh-CN"/>
                    </w:rPr>
                    <w:t>全球</w:t>
                  </w:r>
                  <w:r>
                    <w:rPr>
                      <w:rFonts w:hint="eastAsia" w:ascii="宋体" w:hAnsi="宋体" w:eastAsia="宋体" w:cs="Times New Roman"/>
                      <w:spacing w:val="9"/>
                      <w:lang w:eastAsia="zh-CN"/>
                    </w:rPr>
                    <w:t>电解钴市场</w:t>
                  </w:r>
                </w:p>
                <w:p w14:paraId="3D7FB2D2">
                  <w:pPr>
                    <w:pStyle w:val="23"/>
                    <w:kinsoku/>
                    <w:wordWrap w:val="0"/>
                    <w:spacing w:after="0"/>
                    <w:ind w:left="113"/>
                    <w:jc w:val="both"/>
                    <w:rPr>
                      <w:rFonts w:ascii="宋体" w:hAnsi="宋体" w:eastAsia="宋体" w:cs="Times New Roman"/>
                      <w:spacing w:val="9"/>
                      <w:lang w:eastAsia="zh-CN"/>
                    </w:rPr>
                  </w:pPr>
                  <w:r>
                    <w:rPr>
                      <w:rFonts w:hint="eastAsia" w:ascii="宋体" w:hAnsi="宋体" w:eastAsia="宋体" w:cs="Times New Roman"/>
                      <w:spacing w:val="9"/>
                      <w:lang w:eastAsia="zh-CN"/>
                    </w:rPr>
                    <w:t>华友集团：</w:t>
                  </w:r>
                  <w:r>
                    <w:rPr>
                      <w:rFonts w:ascii="宋体" w:hAnsi="宋体" w:eastAsia="宋体" w:cs="Times New Roman"/>
                      <w:spacing w:val="-10"/>
                      <w:lang w:eastAsia="zh-CN"/>
                    </w:rPr>
                    <w:t>10-15</w:t>
                  </w:r>
                  <w:r>
                    <w:rPr>
                      <w:rFonts w:hint="eastAsia" w:ascii="宋体" w:hAnsi="宋体" w:eastAsia="宋体" w:cs="Times New Roman"/>
                      <w:spacing w:val="-10"/>
                      <w:lang w:eastAsia="zh-CN"/>
                    </w:rPr>
                    <w:t>%</w:t>
                  </w:r>
                </w:p>
              </w:tc>
            </w:tr>
            <w:tr w14:paraId="0E165D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78" w:hRule="atLeast"/>
              </w:trPr>
              <w:tc>
                <w:tcPr>
                  <w:tcW w:w="2341" w:type="dxa"/>
                  <w:tcBorders>
                    <w:top w:val="single" w:color="000000" w:sz="2" w:space="0"/>
                    <w:left w:val="single" w:color="000000" w:sz="2" w:space="0"/>
                    <w:bottom w:val="single" w:color="000000" w:sz="2" w:space="0"/>
                    <w:right w:val="single" w:color="000000" w:sz="2" w:space="0"/>
                  </w:tcBorders>
                  <w:vAlign w:val="center"/>
                </w:tcPr>
                <w:p w14:paraId="71160430">
                  <w:pPr>
                    <w:pStyle w:val="23"/>
                    <w:kinsoku/>
                    <w:wordWrap w:val="0"/>
                    <w:spacing w:after="0"/>
                    <w:jc w:val="both"/>
                    <w:rPr>
                      <w:rFonts w:ascii="宋体" w:hAnsi="宋体" w:eastAsia="宋体" w:cs="Times New Roman"/>
                      <w:lang w:eastAsia="zh-CN"/>
                    </w:rPr>
                  </w:pPr>
                  <w:r>
                    <w:rPr>
                      <w:rFonts w:hint="eastAsia" w:ascii="宋体" w:hAnsi="宋体" w:eastAsia="宋体" w:cs="Times New Roman"/>
                      <w:spacing w:val="9"/>
                      <w:lang w:eastAsia="zh-CN"/>
                    </w:rPr>
                    <w:t>上游：烧碱市场</w:t>
                  </w:r>
                </w:p>
                <w:p w14:paraId="4C55D11F">
                  <w:pPr>
                    <w:pStyle w:val="23"/>
                    <w:kinsoku/>
                    <w:wordWrap w:val="0"/>
                    <w:spacing w:after="0"/>
                    <w:jc w:val="both"/>
                    <w:rPr>
                      <w:rFonts w:hint="eastAsia" w:ascii="宋体" w:hAnsi="宋体" w:eastAsia="宋体" w:cs="Times New Roman"/>
                      <w:spacing w:val="9"/>
                      <w:lang w:eastAsia="zh-CN"/>
                    </w:rPr>
                  </w:pPr>
                  <w:r>
                    <w:rPr>
                      <w:rFonts w:hint="eastAsia" w:ascii="宋体" w:hAnsi="宋体" w:eastAsia="宋体" w:cs="Times New Roman"/>
                      <w:spacing w:val="9"/>
                      <w:lang w:eastAsia="zh-CN"/>
                    </w:rPr>
                    <w:t>下游：磷酸铁市场</w:t>
                  </w:r>
                </w:p>
              </w:tc>
              <w:tc>
                <w:tcPr>
                  <w:tcW w:w="1984" w:type="dxa"/>
                  <w:tcBorders>
                    <w:top w:val="single" w:color="000000" w:sz="2" w:space="0"/>
                    <w:left w:val="single" w:color="000000" w:sz="2" w:space="0"/>
                    <w:bottom w:val="single" w:color="000000" w:sz="2" w:space="0"/>
                    <w:right w:val="single" w:color="000000" w:sz="2" w:space="0"/>
                  </w:tcBorders>
                  <w:vAlign w:val="center"/>
                </w:tcPr>
                <w:p w14:paraId="22B473CB">
                  <w:pPr>
                    <w:pStyle w:val="23"/>
                    <w:kinsoku/>
                    <w:wordWrap w:val="0"/>
                    <w:spacing w:after="0"/>
                    <w:ind w:left="110"/>
                    <w:jc w:val="both"/>
                    <w:rPr>
                      <w:rFonts w:ascii="宋体" w:hAnsi="宋体" w:eastAsia="宋体" w:cs="Times New Roman"/>
                      <w:spacing w:val="-1"/>
                      <w:lang w:eastAsia="zh-CN"/>
                    </w:rPr>
                  </w:pPr>
                  <w:r>
                    <w:rPr>
                      <w:rFonts w:hint="eastAsia" w:ascii="宋体" w:hAnsi="宋体" w:eastAsia="宋体" w:cs="Times New Roman"/>
                      <w:spacing w:val="-6"/>
                      <w:lang w:eastAsia="zh-CN"/>
                    </w:rPr>
                    <w:t>上游：中国境内</w:t>
                  </w:r>
                </w:p>
                <w:p w14:paraId="4BA76870">
                  <w:pPr>
                    <w:pStyle w:val="23"/>
                    <w:kinsoku/>
                    <w:wordWrap w:val="0"/>
                    <w:spacing w:after="0"/>
                    <w:ind w:left="110" w:leftChars="0"/>
                    <w:jc w:val="both"/>
                    <w:rPr>
                      <w:rFonts w:hint="eastAsia" w:ascii="宋体" w:hAnsi="宋体" w:eastAsia="宋体" w:cs="Times New Roman"/>
                      <w:spacing w:val="-1"/>
                      <w:lang w:eastAsia="zh-CN"/>
                    </w:rPr>
                  </w:pPr>
                  <w:r>
                    <w:rPr>
                      <w:rFonts w:hint="eastAsia" w:ascii="宋体" w:hAnsi="宋体" w:eastAsia="宋体" w:cs="Times New Roman"/>
                      <w:spacing w:val="-6"/>
                      <w:lang w:eastAsia="zh-CN"/>
                    </w:rPr>
                    <w:t>下游：中国境内</w:t>
                  </w:r>
                </w:p>
              </w:tc>
              <w:tc>
                <w:tcPr>
                  <w:tcW w:w="3119" w:type="dxa"/>
                  <w:tcBorders>
                    <w:top w:val="single" w:color="000000" w:sz="2" w:space="0"/>
                    <w:left w:val="single" w:color="000000" w:sz="2" w:space="0"/>
                    <w:bottom w:val="single" w:color="000000" w:sz="2" w:space="0"/>
                    <w:right w:val="single" w:color="000000" w:sz="2" w:space="0"/>
                  </w:tcBorders>
                  <w:vAlign w:val="center"/>
                </w:tcPr>
                <w:p w14:paraId="7CC56303">
                  <w:pPr>
                    <w:pStyle w:val="23"/>
                    <w:kinsoku/>
                    <w:wordWrap w:val="0"/>
                    <w:spacing w:after="0"/>
                    <w:ind w:left="113"/>
                    <w:jc w:val="both"/>
                    <w:rPr>
                      <w:rFonts w:ascii="宋体" w:hAnsi="宋体" w:eastAsia="宋体" w:cs="Times New Roman"/>
                      <w:lang w:eastAsia="zh-CN"/>
                    </w:rPr>
                  </w:pPr>
                  <w:r>
                    <w:rPr>
                      <w:rFonts w:hint="eastAsia" w:ascii="宋体" w:hAnsi="宋体" w:eastAsia="宋体" w:cs="Times New Roman"/>
                      <w:spacing w:val="9"/>
                      <w:lang w:eastAsia="zh-CN"/>
                    </w:rPr>
                    <w:t>上游：中国境内烧碱市场</w:t>
                  </w:r>
                </w:p>
                <w:p w14:paraId="2B304510">
                  <w:pPr>
                    <w:pStyle w:val="23"/>
                    <w:kinsoku/>
                    <w:wordWrap w:val="0"/>
                    <w:spacing w:after="0"/>
                    <w:ind w:left="111"/>
                    <w:jc w:val="both"/>
                    <w:rPr>
                      <w:rFonts w:ascii="宋体" w:hAnsi="宋体" w:eastAsia="宋体" w:cs="Times New Roman"/>
                      <w:spacing w:val="9"/>
                      <w:lang w:eastAsia="zh-CN"/>
                    </w:rPr>
                  </w:pPr>
                  <w:r>
                    <w:rPr>
                      <w:rFonts w:hint="eastAsia" w:ascii="宋体" w:hAnsi="宋体" w:eastAsia="宋体" w:cs="Times New Roman"/>
                      <w:spacing w:val="-10"/>
                      <w:lang w:eastAsia="zh-CN"/>
                    </w:rPr>
                    <w:t>华泰股份：</w:t>
                  </w:r>
                  <w:r>
                    <w:rPr>
                      <w:rFonts w:hint="eastAsia" w:ascii="宋体" w:hAnsi="宋体" w:eastAsia="宋体" w:cs="Times New Roman"/>
                      <w:spacing w:val="-1"/>
                      <w:lang w:eastAsia="zh-CN"/>
                    </w:rPr>
                    <w:t>如上所述</w:t>
                  </w:r>
                </w:p>
                <w:p w14:paraId="742BF1D8">
                  <w:pPr>
                    <w:pStyle w:val="23"/>
                    <w:kinsoku/>
                    <w:wordWrap w:val="0"/>
                    <w:spacing w:after="0"/>
                    <w:ind w:left="113"/>
                    <w:jc w:val="both"/>
                    <w:rPr>
                      <w:rFonts w:ascii="宋体" w:hAnsi="宋体" w:eastAsia="宋体" w:cs="Times New Roman"/>
                      <w:spacing w:val="9"/>
                      <w:lang w:eastAsia="zh-CN"/>
                    </w:rPr>
                  </w:pPr>
                  <w:r>
                    <w:rPr>
                      <w:rFonts w:hint="eastAsia" w:ascii="宋体" w:hAnsi="宋体" w:eastAsia="宋体" w:cs="Times New Roman"/>
                      <w:spacing w:val="9"/>
                      <w:lang w:eastAsia="zh-CN"/>
                    </w:rPr>
                    <w:t>下游：中国境内磷酸铁市场</w:t>
                  </w:r>
                </w:p>
                <w:p w14:paraId="0202B9D2">
                  <w:pPr>
                    <w:pStyle w:val="23"/>
                    <w:kinsoku/>
                    <w:wordWrap w:val="0"/>
                    <w:spacing w:after="0"/>
                    <w:ind w:left="113" w:leftChars="0"/>
                    <w:jc w:val="both"/>
                    <w:rPr>
                      <w:rFonts w:hint="eastAsia" w:ascii="宋体" w:hAnsi="宋体" w:eastAsia="宋体" w:cs="Times New Roman"/>
                      <w:spacing w:val="9"/>
                      <w:lang w:eastAsia="zh-CN"/>
                    </w:rPr>
                  </w:pPr>
                  <w:r>
                    <w:rPr>
                      <w:rFonts w:hint="eastAsia" w:ascii="宋体" w:hAnsi="宋体" w:eastAsia="宋体" w:cs="Times New Roman"/>
                      <w:spacing w:val="9"/>
                      <w:lang w:eastAsia="zh-CN"/>
                    </w:rPr>
                    <w:t>华友集团：0-5%</w:t>
                  </w:r>
                </w:p>
              </w:tc>
            </w:tr>
            <w:tr w14:paraId="32EAA4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17" w:hRule="atLeast"/>
              </w:trPr>
              <w:tc>
                <w:tcPr>
                  <w:tcW w:w="2341" w:type="dxa"/>
                  <w:tcBorders>
                    <w:top w:val="single" w:color="000000" w:sz="2" w:space="0"/>
                    <w:left w:val="single" w:color="000000" w:sz="2" w:space="0"/>
                    <w:bottom w:val="single" w:color="000000" w:sz="2" w:space="0"/>
                    <w:right w:val="single" w:color="000000" w:sz="2" w:space="0"/>
                  </w:tcBorders>
                  <w:vAlign w:val="center"/>
                </w:tcPr>
                <w:p w14:paraId="4C0F6F37">
                  <w:pPr>
                    <w:pStyle w:val="23"/>
                    <w:kinsoku/>
                    <w:wordWrap w:val="0"/>
                    <w:spacing w:after="0"/>
                    <w:jc w:val="both"/>
                    <w:rPr>
                      <w:rFonts w:ascii="宋体" w:hAnsi="宋体" w:eastAsia="宋体" w:cs="Times New Roman"/>
                      <w:spacing w:val="9"/>
                      <w:lang w:eastAsia="zh-CN"/>
                    </w:rPr>
                  </w:pPr>
                  <w:r>
                    <w:rPr>
                      <w:rFonts w:hint="eastAsia" w:ascii="宋体" w:hAnsi="宋体" w:eastAsia="宋体" w:cs="Times New Roman"/>
                      <w:spacing w:val="9"/>
                      <w:lang w:eastAsia="zh-CN"/>
                    </w:rPr>
                    <w:t>上游：</w:t>
                  </w:r>
                  <w:r>
                    <w:rPr>
                      <w:rFonts w:hint="eastAsia" w:ascii="宋体" w:hAnsi="宋体" w:eastAsia="宋体" w:cs="Times New Roman"/>
                      <w:spacing w:val="9"/>
                      <w:lang w:val="en-US" w:eastAsia="zh-CN"/>
                    </w:rPr>
                    <w:t>工业级</w:t>
                  </w:r>
                  <w:r>
                    <w:rPr>
                      <w:rFonts w:hint="eastAsia" w:ascii="宋体" w:hAnsi="宋体" w:eastAsia="宋体" w:cs="Times New Roman"/>
                      <w:spacing w:val="9"/>
                      <w:lang w:eastAsia="zh-CN"/>
                    </w:rPr>
                    <w:t>双氧水市场</w:t>
                  </w:r>
                </w:p>
                <w:p w14:paraId="60BE138C">
                  <w:pPr>
                    <w:pStyle w:val="23"/>
                    <w:kinsoku/>
                    <w:wordWrap w:val="0"/>
                    <w:spacing w:after="0"/>
                    <w:jc w:val="both"/>
                    <w:rPr>
                      <w:rFonts w:ascii="宋体" w:hAnsi="宋体" w:eastAsia="宋体" w:cs="Times New Roman"/>
                      <w:spacing w:val="9"/>
                      <w:lang w:eastAsia="zh-CN"/>
                    </w:rPr>
                  </w:pPr>
                  <w:r>
                    <w:rPr>
                      <w:rFonts w:hint="eastAsia" w:ascii="宋体" w:hAnsi="宋体" w:eastAsia="宋体" w:cs="Times New Roman"/>
                      <w:spacing w:val="9"/>
                      <w:lang w:eastAsia="zh-CN"/>
                    </w:rPr>
                    <w:t>下游：磷酸铁市场</w:t>
                  </w:r>
                </w:p>
              </w:tc>
              <w:tc>
                <w:tcPr>
                  <w:tcW w:w="1984" w:type="dxa"/>
                  <w:tcBorders>
                    <w:top w:val="single" w:color="000000" w:sz="2" w:space="0"/>
                    <w:left w:val="single" w:color="000000" w:sz="2" w:space="0"/>
                    <w:bottom w:val="single" w:color="000000" w:sz="2" w:space="0"/>
                    <w:right w:val="single" w:color="000000" w:sz="2" w:space="0"/>
                  </w:tcBorders>
                  <w:vAlign w:val="center"/>
                </w:tcPr>
                <w:p w14:paraId="5DAA9C93">
                  <w:pPr>
                    <w:pStyle w:val="23"/>
                    <w:kinsoku/>
                    <w:wordWrap w:val="0"/>
                    <w:spacing w:after="0"/>
                    <w:ind w:left="110"/>
                    <w:jc w:val="both"/>
                    <w:rPr>
                      <w:rFonts w:hint="eastAsia" w:ascii="宋体" w:hAnsi="宋体" w:eastAsia="宋体" w:cs="Times New Roman"/>
                      <w:spacing w:val="-6"/>
                      <w:lang w:eastAsia="zh-CN"/>
                    </w:rPr>
                  </w:pPr>
                  <w:r>
                    <w:rPr>
                      <w:rFonts w:hint="eastAsia" w:ascii="宋体" w:hAnsi="宋体" w:eastAsia="宋体" w:cs="Times New Roman"/>
                      <w:spacing w:val="-6"/>
                      <w:lang w:eastAsia="zh-CN"/>
                    </w:rPr>
                    <w:t>上游：</w:t>
                  </w:r>
                  <w:r>
                    <w:rPr>
                      <w:rFonts w:hint="eastAsia" w:ascii="宋体" w:hAnsi="宋体" w:eastAsia="宋体" w:cs="Times New Roman"/>
                      <w:spacing w:val="-6"/>
                      <w:lang w:val="en-US" w:eastAsia="zh-CN"/>
                    </w:rPr>
                    <w:t>中国境内</w:t>
                  </w:r>
                </w:p>
                <w:p w14:paraId="1778A8C9">
                  <w:pPr>
                    <w:pStyle w:val="23"/>
                    <w:kinsoku/>
                    <w:wordWrap w:val="0"/>
                    <w:spacing w:after="0"/>
                    <w:ind w:left="110"/>
                    <w:jc w:val="both"/>
                    <w:rPr>
                      <w:rFonts w:ascii="宋体" w:hAnsi="宋体" w:eastAsia="宋体" w:cs="Times New Roman"/>
                      <w:spacing w:val="-6"/>
                      <w:lang w:eastAsia="zh-CN"/>
                    </w:rPr>
                  </w:pPr>
                  <w:r>
                    <w:rPr>
                      <w:rFonts w:hint="eastAsia" w:ascii="宋体" w:hAnsi="宋体" w:eastAsia="宋体" w:cs="Times New Roman"/>
                      <w:spacing w:val="-6"/>
                      <w:lang w:eastAsia="zh-CN"/>
                    </w:rPr>
                    <w:t>下游：中国境内</w:t>
                  </w:r>
                </w:p>
              </w:tc>
              <w:tc>
                <w:tcPr>
                  <w:tcW w:w="3119" w:type="dxa"/>
                  <w:tcBorders>
                    <w:top w:val="single" w:color="000000" w:sz="2" w:space="0"/>
                    <w:left w:val="single" w:color="000000" w:sz="2" w:space="0"/>
                    <w:bottom w:val="single" w:color="000000" w:sz="2" w:space="0"/>
                    <w:right w:val="single" w:color="000000" w:sz="2" w:space="0"/>
                  </w:tcBorders>
                  <w:vAlign w:val="center"/>
                </w:tcPr>
                <w:p w14:paraId="5B606FC8">
                  <w:pPr>
                    <w:pStyle w:val="23"/>
                    <w:kinsoku/>
                    <w:wordWrap w:val="0"/>
                    <w:spacing w:after="0"/>
                    <w:ind w:left="113"/>
                    <w:jc w:val="both"/>
                    <w:rPr>
                      <w:rFonts w:hint="eastAsia" w:ascii="宋体" w:hAnsi="宋体" w:eastAsia="宋体" w:cs="Times New Roman"/>
                      <w:color w:val="000000" w:themeColor="text1"/>
                      <w:spacing w:val="9"/>
                      <w:lang w:val="en-US" w:eastAsia="zh-CN"/>
                      <w14:textFill>
                        <w14:solidFill>
                          <w14:schemeClr w14:val="tx1"/>
                        </w14:solidFill>
                      </w14:textFill>
                    </w:rPr>
                  </w:pPr>
                  <w:r>
                    <w:rPr>
                      <w:rFonts w:hint="eastAsia" w:ascii="宋体" w:hAnsi="宋体" w:eastAsia="宋体" w:cs="Times New Roman"/>
                      <w:color w:val="000000" w:themeColor="text1"/>
                      <w:spacing w:val="9"/>
                      <w:lang w:eastAsia="zh-CN"/>
                      <w14:textFill>
                        <w14:solidFill>
                          <w14:schemeClr w14:val="tx1"/>
                        </w14:solidFill>
                      </w14:textFill>
                    </w:rPr>
                    <w:t>上游：</w:t>
                  </w:r>
                  <w:r>
                    <w:rPr>
                      <w:rFonts w:hint="eastAsia" w:ascii="宋体" w:hAnsi="宋体" w:eastAsia="宋体" w:cs="Times New Roman"/>
                      <w:color w:val="000000" w:themeColor="text1"/>
                      <w:spacing w:val="9"/>
                      <w:lang w:val="en-US" w:eastAsia="zh-CN"/>
                      <w14:textFill>
                        <w14:solidFill>
                          <w14:schemeClr w14:val="tx1"/>
                        </w14:solidFill>
                      </w14:textFill>
                    </w:rPr>
                    <w:t>中国境内工业级双氧水市场</w:t>
                  </w:r>
                </w:p>
                <w:p w14:paraId="4F1EA7E9">
                  <w:pPr>
                    <w:pStyle w:val="23"/>
                    <w:kinsoku/>
                    <w:wordWrap w:val="0"/>
                    <w:spacing w:after="0"/>
                    <w:ind w:left="113"/>
                    <w:jc w:val="both"/>
                    <w:rPr>
                      <w:rFonts w:ascii="宋体" w:hAnsi="宋体" w:eastAsia="宋体" w:cs="Times New Roman"/>
                      <w:spacing w:val="9"/>
                      <w:lang w:eastAsia="zh-CN"/>
                    </w:rPr>
                  </w:pPr>
                  <w:r>
                    <w:rPr>
                      <w:rFonts w:hint="eastAsia" w:ascii="宋体" w:hAnsi="宋体" w:eastAsia="宋体" w:cs="Times New Roman"/>
                      <w:color w:val="000000" w:themeColor="text1"/>
                      <w:spacing w:val="9"/>
                      <w:lang w:val="en-US" w:eastAsia="zh-CN"/>
                      <w14:textFill>
                        <w14:solidFill>
                          <w14:schemeClr w14:val="tx1"/>
                        </w14:solidFill>
                      </w14:textFill>
                    </w:rPr>
                    <w:t>华泰股份：0-5%</w:t>
                  </w:r>
                </w:p>
                <w:p w14:paraId="7A75B60B">
                  <w:pPr>
                    <w:pStyle w:val="23"/>
                    <w:kinsoku/>
                    <w:wordWrap w:val="0"/>
                    <w:spacing w:after="0"/>
                    <w:ind w:left="113"/>
                    <w:jc w:val="both"/>
                    <w:rPr>
                      <w:rFonts w:ascii="宋体" w:hAnsi="宋体" w:eastAsia="宋体" w:cs="Times New Roman"/>
                      <w:spacing w:val="9"/>
                      <w:lang w:eastAsia="zh-CN"/>
                    </w:rPr>
                  </w:pPr>
                  <w:r>
                    <w:rPr>
                      <w:rFonts w:hint="eastAsia" w:ascii="宋体" w:hAnsi="宋体" w:eastAsia="宋体" w:cs="Times New Roman"/>
                      <w:spacing w:val="9"/>
                      <w:lang w:eastAsia="zh-CN"/>
                    </w:rPr>
                    <w:t>下游：中国境内磷酸铁市场</w:t>
                  </w:r>
                </w:p>
                <w:p w14:paraId="74324501">
                  <w:pPr>
                    <w:pStyle w:val="23"/>
                    <w:kinsoku/>
                    <w:wordWrap w:val="0"/>
                    <w:spacing w:after="0"/>
                    <w:ind w:left="113"/>
                    <w:jc w:val="both"/>
                    <w:rPr>
                      <w:rFonts w:ascii="宋体" w:hAnsi="宋体" w:eastAsia="宋体" w:cs="Times New Roman"/>
                      <w:spacing w:val="-1"/>
                      <w:lang w:eastAsia="zh-CN"/>
                    </w:rPr>
                  </w:pPr>
                  <w:r>
                    <w:rPr>
                      <w:rFonts w:hint="eastAsia" w:ascii="宋体" w:hAnsi="宋体" w:eastAsia="宋体" w:cs="Times New Roman"/>
                      <w:spacing w:val="9"/>
                      <w:lang w:eastAsia="zh-CN"/>
                    </w:rPr>
                    <w:t>华友集团：</w:t>
                  </w:r>
                  <w:r>
                    <w:rPr>
                      <w:rFonts w:hint="eastAsia" w:ascii="宋体" w:hAnsi="宋体" w:eastAsia="宋体" w:cs="Times New Roman"/>
                      <w:spacing w:val="-1"/>
                      <w:lang w:eastAsia="zh-CN"/>
                    </w:rPr>
                    <w:t>如上所述</w:t>
                  </w:r>
                </w:p>
              </w:tc>
            </w:tr>
          </w:tbl>
          <w:p w14:paraId="584423FD">
            <w:pPr>
              <w:pStyle w:val="7"/>
              <w:adjustRightInd w:val="0"/>
              <w:snapToGrid w:val="0"/>
              <w:spacing w:after="0"/>
              <w:rPr>
                <w:rFonts w:hint="default" w:ascii="Times New Roman" w:hAnsi="Times New Roman" w:eastAsia="宋体" w:cs="Times New Roman"/>
                <w:b/>
                <w:color w:val="000000" w:themeColor="text1"/>
                <w:kern w:val="0"/>
                <w:sz w:val="24"/>
                <w:szCs w:val="24"/>
                <w:lang w:val="en-US" w:eastAsia="zh-CN" w:bidi="ar-SA"/>
                <w14:textFill>
                  <w14:solidFill>
                    <w14:schemeClr w14:val="tx1"/>
                  </w14:solidFill>
                </w14:textFill>
              </w:rPr>
            </w:pPr>
          </w:p>
        </w:tc>
      </w:tr>
    </w:tbl>
    <w:p w14:paraId="59DCBCC9">
      <w:pPr>
        <w:keepNext w:val="0"/>
        <w:keepLines w:val="0"/>
        <w:pageBreakBefore w:val="0"/>
        <w:widowControl w:val="0"/>
        <w:kinsoku/>
        <w:wordWrap/>
        <w:overflowPunct/>
        <w:topLinePunct w:val="0"/>
        <w:autoSpaceDE/>
        <w:autoSpaceDN/>
        <w:bidi w:val="0"/>
        <w:adjustRightInd/>
        <w:snapToGrid/>
        <w:spacing w:line="20" w:lineRule="exact"/>
        <w:textAlignment w:val="auto"/>
        <w:rPr>
          <w:rFonts w:eastAsia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auto"/>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00172A27"/>
    <w:rsid w:val="0002772E"/>
    <w:rsid w:val="00042BDD"/>
    <w:rsid w:val="0007692D"/>
    <w:rsid w:val="00087338"/>
    <w:rsid w:val="00114814"/>
    <w:rsid w:val="00133900"/>
    <w:rsid w:val="001656F1"/>
    <w:rsid w:val="00186F4D"/>
    <w:rsid w:val="001B50F2"/>
    <w:rsid w:val="001C6148"/>
    <w:rsid w:val="001F1C3C"/>
    <w:rsid w:val="0022179C"/>
    <w:rsid w:val="00221FCA"/>
    <w:rsid w:val="00244DF9"/>
    <w:rsid w:val="00284710"/>
    <w:rsid w:val="00303ED8"/>
    <w:rsid w:val="00316BA9"/>
    <w:rsid w:val="00332EAC"/>
    <w:rsid w:val="00346B84"/>
    <w:rsid w:val="00367A54"/>
    <w:rsid w:val="004514D5"/>
    <w:rsid w:val="00481C5F"/>
    <w:rsid w:val="00490B57"/>
    <w:rsid w:val="004C4C54"/>
    <w:rsid w:val="00500F51"/>
    <w:rsid w:val="00504A56"/>
    <w:rsid w:val="00504BEC"/>
    <w:rsid w:val="00507863"/>
    <w:rsid w:val="00585738"/>
    <w:rsid w:val="00590147"/>
    <w:rsid w:val="005C4EFC"/>
    <w:rsid w:val="00615E7E"/>
    <w:rsid w:val="0062408E"/>
    <w:rsid w:val="00627CE6"/>
    <w:rsid w:val="00646E32"/>
    <w:rsid w:val="00681796"/>
    <w:rsid w:val="006A20C6"/>
    <w:rsid w:val="006B05C1"/>
    <w:rsid w:val="006C3B44"/>
    <w:rsid w:val="006D46D2"/>
    <w:rsid w:val="006E2694"/>
    <w:rsid w:val="00707821"/>
    <w:rsid w:val="0072474D"/>
    <w:rsid w:val="00734F51"/>
    <w:rsid w:val="00772A1A"/>
    <w:rsid w:val="0079077E"/>
    <w:rsid w:val="007D63FA"/>
    <w:rsid w:val="007F706B"/>
    <w:rsid w:val="00816711"/>
    <w:rsid w:val="00826195"/>
    <w:rsid w:val="008472A3"/>
    <w:rsid w:val="00876497"/>
    <w:rsid w:val="008A6D0B"/>
    <w:rsid w:val="008C2439"/>
    <w:rsid w:val="008D54A9"/>
    <w:rsid w:val="009040AD"/>
    <w:rsid w:val="00921E49"/>
    <w:rsid w:val="00925747"/>
    <w:rsid w:val="00934D60"/>
    <w:rsid w:val="00960A84"/>
    <w:rsid w:val="00A73286"/>
    <w:rsid w:val="00AB67FA"/>
    <w:rsid w:val="00AF13BF"/>
    <w:rsid w:val="00B45330"/>
    <w:rsid w:val="00B57D9E"/>
    <w:rsid w:val="00B93533"/>
    <w:rsid w:val="00BA0E32"/>
    <w:rsid w:val="00BB0219"/>
    <w:rsid w:val="00BB6F16"/>
    <w:rsid w:val="00BC4863"/>
    <w:rsid w:val="00BC4E22"/>
    <w:rsid w:val="00BD3FB4"/>
    <w:rsid w:val="00BE051D"/>
    <w:rsid w:val="00BE492B"/>
    <w:rsid w:val="00C046B3"/>
    <w:rsid w:val="00C14A25"/>
    <w:rsid w:val="00CE4CBE"/>
    <w:rsid w:val="00D11F6E"/>
    <w:rsid w:val="00D14CED"/>
    <w:rsid w:val="00D36041"/>
    <w:rsid w:val="00E262A7"/>
    <w:rsid w:val="00E40607"/>
    <w:rsid w:val="00E4263C"/>
    <w:rsid w:val="00E466FD"/>
    <w:rsid w:val="00E80370"/>
    <w:rsid w:val="00EC650F"/>
    <w:rsid w:val="00F6252F"/>
    <w:rsid w:val="00F63099"/>
    <w:rsid w:val="00F653DE"/>
    <w:rsid w:val="00F7053E"/>
    <w:rsid w:val="00F80A9D"/>
    <w:rsid w:val="00F90810"/>
    <w:rsid w:val="00F971F1"/>
    <w:rsid w:val="00FD5EA5"/>
    <w:rsid w:val="00FF42DD"/>
    <w:rsid w:val="01087875"/>
    <w:rsid w:val="011DF4EB"/>
    <w:rsid w:val="01AB455E"/>
    <w:rsid w:val="01B165CE"/>
    <w:rsid w:val="01DA5C5E"/>
    <w:rsid w:val="020779C8"/>
    <w:rsid w:val="0217304F"/>
    <w:rsid w:val="02515359"/>
    <w:rsid w:val="02E16CA8"/>
    <w:rsid w:val="02F70103"/>
    <w:rsid w:val="030806B1"/>
    <w:rsid w:val="03483348"/>
    <w:rsid w:val="03490091"/>
    <w:rsid w:val="03D70EC9"/>
    <w:rsid w:val="041475F8"/>
    <w:rsid w:val="04B425C4"/>
    <w:rsid w:val="04B85AFF"/>
    <w:rsid w:val="05AB50DB"/>
    <w:rsid w:val="06075F29"/>
    <w:rsid w:val="072729B8"/>
    <w:rsid w:val="073562D9"/>
    <w:rsid w:val="07D6476B"/>
    <w:rsid w:val="087232C3"/>
    <w:rsid w:val="08D6542E"/>
    <w:rsid w:val="08ED34FD"/>
    <w:rsid w:val="093446A7"/>
    <w:rsid w:val="09E21081"/>
    <w:rsid w:val="0AF22185"/>
    <w:rsid w:val="0B1835C3"/>
    <w:rsid w:val="0B3A5C6C"/>
    <w:rsid w:val="0B63273E"/>
    <w:rsid w:val="0BD91CE7"/>
    <w:rsid w:val="0C554F7A"/>
    <w:rsid w:val="0C6B60D7"/>
    <w:rsid w:val="0D1F1C05"/>
    <w:rsid w:val="0DE526A7"/>
    <w:rsid w:val="0DFB7F09"/>
    <w:rsid w:val="0E5C7E9D"/>
    <w:rsid w:val="0EEC791B"/>
    <w:rsid w:val="0F272A69"/>
    <w:rsid w:val="0F2B249C"/>
    <w:rsid w:val="0FA436B7"/>
    <w:rsid w:val="0FBBC6D8"/>
    <w:rsid w:val="0FCA58AB"/>
    <w:rsid w:val="10286214"/>
    <w:rsid w:val="10BE10ED"/>
    <w:rsid w:val="10C02711"/>
    <w:rsid w:val="11823EC9"/>
    <w:rsid w:val="11D03D09"/>
    <w:rsid w:val="11FC1ECD"/>
    <w:rsid w:val="12ED74AA"/>
    <w:rsid w:val="130B6D76"/>
    <w:rsid w:val="131E7C21"/>
    <w:rsid w:val="13236AF1"/>
    <w:rsid w:val="13D6674E"/>
    <w:rsid w:val="1437543F"/>
    <w:rsid w:val="143A749A"/>
    <w:rsid w:val="147D797B"/>
    <w:rsid w:val="148B0637"/>
    <w:rsid w:val="150C1E94"/>
    <w:rsid w:val="15D94F21"/>
    <w:rsid w:val="15E47716"/>
    <w:rsid w:val="164E6A70"/>
    <w:rsid w:val="1680064E"/>
    <w:rsid w:val="170576D4"/>
    <w:rsid w:val="173723BC"/>
    <w:rsid w:val="17436509"/>
    <w:rsid w:val="182A3BC2"/>
    <w:rsid w:val="19533EE7"/>
    <w:rsid w:val="199476C8"/>
    <w:rsid w:val="1A933EF5"/>
    <w:rsid w:val="1A9B628C"/>
    <w:rsid w:val="1AA11230"/>
    <w:rsid w:val="1AEB0D31"/>
    <w:rsid w:val="1AFD6EC1"/>
    <w:rsid w:val="1B2D6269"/>
    <w:rsid w:val="1B785580"/>
    <w:rsid w:val="1BEF65FF"/>
    <w:rsid w:val="1BF9394B"/>
    <w:rsid w:val="1BF9AB71"/>
    <w:rsid w:val="1C1B3B19"/>
    <w:rsid w:val="1C361957"/>
    <w:rsid w:val="1CC31397"/>
    <w:rsid w:val="1D8B4DA1"/>
    <w:rsid w:val="1DA24124"/>
    <w:rsid w:val="1DFE30C6"/>
    <w:rsid w:val="1EF71A09"/>
    <w:rsid w:val="1EFED7F2"/>
    <w:rsid w:val="1F2073B8"/>
    <w:rsid w:val="1FC81833"/>
    <w:rsid w:val="1FDFF0AB"/>
    <w:rsid w:val="1FE72BC6"/>
    <w:rsid w:val="20320ECE"/>
    <w:rsid w:val="20341A99"/>
    <w:rsid w:val="20815B54"/>
    <w:rsid w:val="20C2797E"/>
    <w:rsid w:val="20F82768"/>
    <w:rsid w:val="21472A39"/>
    <w:rsid w:val="215B059A"/>
    <w:rsid w:val="21BD7D11"/>
    <w:rsid w:val="21FFC12F"/>
    <w:rsid w:val="22151D28"/>
    <w:rsid w:val="244D0366"/>
    <w:rsid w:val="24606B41"/>
    <w:rsid w:val="246456B0"/>
    <w:rsid w:val="246736EB"/>
    <w:rsid w:val="24840815"/>
    <w:rsid w:val="24961512"/>
    <w:rsid w:val="24BE4747"/>
    <w:rsid w:val="25C17900"/>
    <w:rsid w:val="25DD4311"/>
    <w:rsid w:val="261144B9"/>
    <w:rsid w:val="26606A77"/>
    <w:rsid w:val="26627377"/>
    <w:rsid w:val="27B435B3"/>
    <w:rsid w:val="27CC09EF"/>
    <w:rsid w:val="27ED6C10"/>
    <w:rsid w:val="281C288D"/>
    <w:rsid w:val="283265FA"/>
    <w:rsid w:val="28361ADD"/>
    <w:rsid w:val="289A6D28"/>
    <w:rsid w:val="29826D04"/>
    <w:rsid w:val="2A0C211C"/>
    <w:rsid w:val="2A60184B"/>
    <w:rsid w:val="2AA41F53"/>
    <w:rsid w:val="2AF55222"/>
    <w:rsid w:val="2B163BA8"/>
    <w:rsid w:val="2B795B9C"/>
    <w:rsid w:val="2C0A4D8F"/>
    <w:rsid w:val="2C0C7CCC"/>
    <w:rsid w:val="2CAC25FF"/>
    <w:rsid w:val="2D0217A7"/>
    <w:rsid w:val="2D123945"/>
    <w:rsid w:val="2D522E91"/>
    <w:rsid w:val="2DA7BB6E"/>
    <w:rsid w:val="2DE926AB"/>
    <w:rsid w:val="2DFF8C0F"/>
    <w:rsid w:val="2ECF569F"/>
    <w:rsid w:val="2F0902B7"/>
    <w:rsid w:val="2F873425"/>
    <w:rsid w:val="2FD63906"/>
    <w:rsid w:val="2FEDBF98"/>
    <w:rsid w:val="301601A6"/>
    <w:rsid w:val="3025112D"/>
    <w:rsid w:val="306F1D95"/>
    <w:rsid w:val="31687D65"/>
    <w:rsid w:val="319E78FD"/>
    <w:rsid w:val="32A9670B"/>
    <w:rsid w:val="32D45EFE"/>
    <w:rsid w:val="33291F9F"/>
    <w:rsid w:val="332B297E"/>
    <w:rsid w:val="339B1A7D"/>
    <w:rsid w:val="33DF2E4E"/>
    <w:rsid w:val="33E34AE7"/>
    <w:rsid w:val="341C1B03"/>
    <w:rsid w:val="34390907"/>
    <w:rsid w:val="34527864"/>
    <w:rsid w:val="356065C1"/>
    <w:rsid w:val="35741F7B"/>
    <w:rsid w:val="35927D49"/>
    <w:rsid w:val="35AA4056"/>
    <w:rsid w:val="36647739"/>
    <w:rsid w:val="36722108"/>
    <w:rsid w:val="36A67819"/>
    <w:rsid w:val="37736187"/>
    <w:rsid w:val="37DFC498"/>
    <w:rsid w:val="37EC4B4C"/>
    <w:rsid w:val="38EF19B1"/>
    <w:rsid w:val="395A55A8"/>
    <w:rsid w:val="3A7D25F4"/>
    <w:rsid w:val="3AE3337B"/>
    <w:rsid w:val="3B6C128B"/>
    <w:rsid w:val="3BE153E8"/>
    <w:rsid w:val="3BF20937"/>
    <w:rsid w:val="3BF42FA2"/>
    <w:rsid w:val="3BFE8C88"/>
    <w:rsid w:val="3C1B3849"/>
    <w:rsid w:val="3C5203FE"/>
    <w:rsid w:val="3C982B28"/>
    <w:rsid w:val="3D015043"/>
    <w:rsid w:val="3D8FE1AF"/>
    <w:rsid w:val="3DBE0E38"/>
    <w:rsid w:val="3DCF2C73"/>
    <w:rsid w:val="3E3B322A"/>
    <w:rsid w:val="3E4AEAFC"/>
    <w:rsid w:val="3E671EB3"/>
    <w:rsid w:val="3E6F2B57"/>
    <w:rsid w:val="3EB7365E"/>
    <w:rsid w:val="3EBE2D3F"/>
    <w:rsid w:val="3EBE7DF6"/>
    <w:rsid w:val="3ED7D01C"/>
    <w:rsid w:val="3EE73D98"/>
    <w:rsid w:val="3EFF0DF0"/>
    <w:rsid w:val="3F642A87"/>
    <w:rsid w:val="3F7F6751"/>
    <w:rsid w:val="3FB6105D"/>
    <w:rsid w:val="3FF1EAFD"/>
    <w:rsid w:val="3FFF34CA"/>
    <w:rsid w:val="3FFFF255"/>
    <w:rsid w:val="3FFFF7A9"/>
    <w:rsid w:val="40454BCA"/>
    <w:rsid w:val="40D7777E"/>
    <w:rsid w:val="40E3190E"/>
    <w:rsid w:val="4129118D"/>
    <w:rsid w:val="41D779C0"/>
    <w:rsid w:val="426C6CEB"/>
    <w:rsid w:val="436E421B"/>
    <w:rsid w:val="43D81ACB"/>
    <w:rsid w:val="43E353FE"/>
    <w:rsid w:val="443B7A46"/>
    <w:rsid w:val="443B7D84"/>
    <w:rsid w:val="44EF696F"/>
    <w:rsid w:val="45A801C9"/>
    <w:rsid w:val="45E92E66"/>
    <w:rsid w:val="463C27E0"/>
    <w:rsid w:val="46845245"/>
    <w:rsid w:val="46F216C3"/>
    <w:rsid w:val="47226FD9"/>
    <w:rsid w:val="48247180"/>
    <w:rsid w:val="48567BBA"/>
    <w:rsid w:val="48604985"/>
    <w:rsid w:val="48C332AF"/>
    <w:rsid w:val="48DB4B1D"/>
    <w:rsid w:val="48FE2C64"/>
    <w:rsid w:val="4935600E"/>
    <w:rsid w:val="49857111"/>
    <w:rsid w:val="498A72A0"/>
    <w:rsid w:val="4A280DAA"/>
    <w:rsid w:val="4B44740D"/>
    <w:rsid w:val="4BED5B46"/>
    <w:rsid w:val="4C824703"/>
    <w:rsid w:val="4CC01CF8"/>
    <w:rsid w:val="4CFB2073"/>
    <w:rsid w:val="4CFD75DE"/>
    <w:rsid w:val="4D022B50"/>
    <w:rsid w:val="4D533669"/>
    <w:rsid w:val="4D611881"/>
    <w:rsid w:val="4D8A03D2"/>
    <w:rsid w:val="4DB67BAD"/>
    <w:rsid w:val="4DBF710D"/>
    <w:rsid w:val="4E037B64"/>
    <w:rsid w:val="4E585190"/>
    <w:rsid w:val="4E626EA5"/>
    <w:rsid w:val="4F7D0643"/>
    <w:rsid w:val="4FE343BE"/>
    <w:rsid w:val="505C355C"/>
    <w:rsid w:val="50CB3BDA"/>
    <w:rsid w:val="51036EF4"/>
    <w:rsid w:val="511505E7"/>
    <w:rsid w:val="51C80456"/>
    <w:rsid w:val="522432EB"/>
    <w:rsid w:val="5260460E"/>
    <w:rsid w:val="5275657D"/>
    <w:rsid w:val="535B1AD6"/>
    <w:rsid w:val="53701092"/>
    <w:rsid w:val="537FCB57"/>
    <w:rsid w:val="53DE53F7"/>
    <w:rsid w:val="53F37CA4"/>
    <w:rsid w:val="549363D0"/>
    <w:rsid w:val="54A03EDC"/>
    <w:rsid w:val="54D26C3D"/>
    <w:rsid w:val="54DD7AC9"/>
    <w:rsid w:val="553B64CC"/>
    <w:rsid w:val="55413F6A"/>
    <w:rsid w:val="556C3BF9"/>
    <w:rsid w:val="558A3AEC"/>
    <w:rsid w:val="55F5B344"/>
    <w:rsid w:val="55FF4F39"/>
    <w:rsid w:val="563C0C84"/>
    <w:rsid w:val="567C47AD"/>
    <w:rsid w:val="568C7EFA"/>
    <w:rsid w:val="569C2904"/>
    <w:rsid w:val="571B1B2F"/>
    <w:rsid w:val="5721053D"/>
    <w:rsid w:val="57472441"/>
    <w:rsid w:val="57F473E9"/>
    <w:rsid w:val="587873A1"/>
    <w:rsid w:val="59206465"/>
    <w:rsid w:val="59927FEE"/>
    <w:rsid w:val="599B7F54"/>
    <w:rsid w:val="59D80FE8"/>
    <w:rsid w:val="5A320350"/>
    <w:rsid w:val="5A4E1134"/>
    <w:rsid w:val="5A8F5421"/>
    <w:rsid w:val="5AAB1367"/>
    <w:rsid w:val="5AB377AC"/>
    <w:rsid w:val="5AD242B6"/>
    <w:rsid w:val="5ADB7A9F"/>
    <w:rsid w:val="5B14449E"/>
    <w:rsid w:val="5B9E2C7A"/>
    <w:rsid w:val="5BDF7AA8"/>
    <w:rsid w:val="5BFA4577"/>
    <w:rsid w:val="5BFF15E9"/>
    <w:rsid w:val="5C1B2572"/>
    <w:rsid w:val="5CC770F3"/>
    <w:rsid w:val="5CF709BF"/>
    <w:rsid w:val="5D633CB1"/>
    <w:rsid w:val="5DE93B9C"/>
    <w:rsid w:val="5DFF5221"/>
    <w:rsid w:val="5E606197"/>
    <w:rsid w:val="5E758AD3"/>
    <w:rsid w:val="5E872C42"/>
    <w:rsid w:val="5EB54DAB"/>
    <w:rsid w:val="5EFFEB53"/>
    <w:rsid w:val="5F3A59C0"/>
    <w:rsid w:val="5F3C2655"/>
    <w:rsid w:val="5F4C72AD"/>
    <w:rsid w:val="5F5B3889"/>
    <w:rsid w:val="5F7404E1"/>
    <w:rsid w:val="5FD337B9"/>
    <w:rsid w:val="5FDBF934"/>
    <w:rsid w:val="5FDD3B5D"/>
    <w:rsid w:val="5FDD699A"/>
    <w:rsid w:val="5FEF6B7F"/>
    <w:rsid w:val="5FF69754"/>
    <w:rsid w:val="60600E46"/>
    <w:rsid w:val="60B85CFA"/>
    <w:rsid w:val="61A27DB8"/>
    <w:rsid w:val="61AC7C2D"/>
    <w:rsid w:val="61F32521"/>
    <w:rsid w:val="62A95BE3"/>
    <w:rsid w:val="62FE2ACC"/>
    <w:rsid w:val="63CE0698"/>
    <w:rsid w:val="63E8185B"/>
    <w:rsid w:val="63F6661D"/>
    <w:rsid w:val="642A1C4A"/>
    <w:rsid w:val="64990483"/>
    <w:rsid w:val="64F94FB6"/>
    <w:rsid w:val="64FF0119"/>
    <w:rsid w:val="650C61D5"/>
    <w:rsid w:val="65183212"/>
    <w:rsid w:val="654F569B"/>
    <w:rsid w:val="65752CAF"/>
    <w:rsid w:val="65AC0421"/>
    <w:rsid w:val="65C94540"/>
    <w:rsid w:val="65F4A48C"/>
    <w:rsid w:val="662674F5"/>
    <w:rsid w:val="66EF9058"/>
    <w:rsid w:val="67090219"/>
    <w:rsid w:val="67532E54"/>
    <w:rsid w:val="6754015D"/>
    <w:rsid w:val="676B6497"/>
    <w:rsid w:val="677B0DDC"/>
    <w:rsid w:val="67885F66"/>
    <w:rsid w:val="67D469E8"/>
    <w:rsid w:val="67DB7BB9"/>
    <w:rsid w:val="67FB6F24"/>
    <w:rsid w:val="685D233B"/>
    <w:rsid w:val="68E175B6"/>
    <w:rsid w:val="68ED6FEF"/>
    <w:rsid w:val="69140A20"/>
    <w:rsid w:val="6978328D"/>
    <w:rsid w:val="69C0748D"/>
    <w:rsid w:val="6A0942FC"/>
    <w:rsid w:val="6A7D30C3"/>
    <w:rsid w:val="6ABB6FCD"/>
    <w:rsid w:val="6AD438DD"/>
    <w:rsid w:val="6AFF300A"/>
    <w:rsid w:val="6B5CFEDC"/>
    <w:rsid w:val="6B9261CD"/>
    <w:rsid w:val="6B935AA5"/>
    <w:rsid w:val="6B9A71CB"/>
    <w:rsid w:val="6BCB1BF4"/>
    <w:rsid w:val="6BCC0CB3"/>
    <w:rsid w:val="6BEBF20E"/>
    <w:rsid w:val="6C45316D"/>
    <w:rsid w:val="6C5FFDFD"/>
    <w:rsid w:val="6CA65B6F"/>
    <w:rsid w:val="6CBE075E"/>
    <w:rsid w:val="6CBF87B4"/>
    <w:rsid w:val="6D7B05E6"/>
    <w:rsid w:val="6DBE9C49"/>
    <w:rsid w:val="6DC30C82"/>
    <w:rsid w:val="6DDA538F"/>
    <w:rsid w:val="6DDED766"/>
    <w:rsid w:val="6DEFBAE0"/>
    <w:rsid w:val="6E372E5F"/>
    <w:rsid w:val="6E3FE820"/>
    <w:rsid w:val="6E786ABC"/>
    <w:rsid w:val="6E7C0B6B"/>
    <w:rsid w:val="6E954194"/>
    <w:rsid w:val="6EBE3907"/>
    <w:rsid w:val="6F538C10"/>
    <w:rsid w:val="6F6E1640"/>
    <w:rsid w:val="6FAD6E24"/>
    <w:rsid w:val="6FB7F940"/>
    <w:rsid w:val="6FC1631A"/>
    <w:rsid w:val="6FDF5799"/>
    <w:rsid w:val="6FE85134"/>
    <w:rsid w:val="6FEFA4E2"/>
    <w:rsid w:val="6FFB3825"/>
    <w:rsid w:val="6FFDD266"/>
    <w:rsid w:val="706C5090"/>
    <w:rsid w:val="710A7485"/>
    <w:rsid w:val="71394751"/>
    <w:rsid w:val="71402523"/>
    <w:rsid w:val="72131803"/>
    <w:rsid w:val="722C32D0"/>
    <w:rsid w:val="723024E6"/>
    <w:rsid w:val="72777687"/>
    <w:rsid w:val="73026B48"/>
    <w:rsid w:val="735D723C"/>
    <w:rsid w:val="737A6056"/>
    <w:rsid w:val="737FE4CC"/>
    <w:rsid w:val="7447B6BF"/>
    <w:rsid w:val="74566BED"/>
    <w:rsid w:val="74CE550B"/>
    <w:rsid w:val="74E476E3"/>
    <w:rsid w:val="74FA9F2D"/>
    <w:rsid w:val="751B0A84"/>
    <w:rsid w:val="752B15CB"/>
    <w:rsid w:val="755F49C7"/>
    <w:rsid w:val="75A34AC0"/>
    <w:rsid w:val="75BA7893"/>
    <w:rsid w:val="75FD2329"/>
    <w:rsid w:val="75FE8BDD"/>
    <w:rsid w:val="763FAA27"/>
    <w:rsid w:val="765FAA54"/>
    <w:rsid w:val="767FE0B3"/>
    <w:rsid w:val="76AFBFF1"/>
    <w:rsid w:val="76BF73B6"/>
    <w:rsid w:val="76CA40F3"/>
    <w:rsid w:val="771C20E9"/>
    <w:rsid w:val="77496BC0"/>
    <w:rsid w:val="77527FDF"/>
    <w:rsid w:val="775F275F"/>
    <w:rsid w:val="777BD1C3"/>
    <w:rsid w:val="777D1E86"/>
    <w:rsid w:val="777FCD8F"/>
    <w:rsid w:val="77960090"/>
    <w:rsid w:val="77A0AA49"/>
    <w:rsid w:val="77AFF4F6"/>
    <w:rsid w:val="77AFF73C"/>
    <w:rsid w:val="77DFDD5B"/>
    <w:rsid w:val="77FB42A6"/>
    <w:rsid w:val="77FBAA8E"/>
    <w:rsid w:val="77FF6A8C"/>
    <w:rsid w:val="77FF8866"/>
    <w:rsid w:val="77FFCFC3"/>
    <w:rsid w:val="78410251"/>
    <w:rsid w:val="789D5404"/>
    <w:rsid w:val="793FB7A1"/>
    <w:rsid w:val="79EC0BFB"/>
    <w:rsid w:val="79FA9BCD"/>
    <w:rsid w:val="7A66B182"/>
    <w:rsid w:val="7A9C06E1"/>
    <w:rsid w:val="7AB91678"/>
    <w:rsid w:val="7B534FF9"/>
    <w:rsid w:val="7B7B414A"/>
    <w:rsid w:val="7B8F578C"/>
    <w:rsid w:val="7B9A66EF"/>
    <w:rsid w:val="7BAB6FC2"/>
    <w:rsid w:val="7BD6EBF8"/>
    <w:rsid w:val="7BE411F0"/>
    <w:rsid w:val="7BE78EC0"/>
    <w:rsid w:val="7BFDD557"/>
    <w:rsid w:val="7BFFD823"/>
    <w:rsid w:val="7C235B45"/>
    <w:rsid w:val="7C640D1E"/>
    <w:rsid w:val="7C7918BC"/>
    <w:rsid w:val="7CCB66D7"/>
    <w:rsid w:val="7CFFE32C"/>
    <w:rsid w:val="7D6F58DB"/>
    <w:rsid w:val="7DCE664D"/>
    <w:rsid w:val="7DDC0FE0"/>
    <w:rsid w:val="7DDFC877"/>
    <w:rsid w:val="7E9DA405"/>
    <w:rsid w:val="7EBEB929"/>
    <w:rsid w:val="7EE72273"/>
    <w:rsid w:val="7EEB5729"/>
    <w:rsid w:val="7EF16FA7"/>
    <w:rsid w:val="7EF7CDD2"/>
    <w:rsid w:val="7F23145A"/>
    <w:rsid w:val="7F543923"/>
    <w:rsid w:val="7F7BEB9D"/>
    <w:rsid w:val="7F7F4275"/>
    <w:rsid w:val="7F9E584B"/>
    <w:rsid w:val="7F9F8D24"/>
    <w:rsid w:val="7FB70FD4"/>
    <w:rsid w:val="7FBBDAF9"/>
    <w:rsid w:val="7FBF2495"/>
    <w:rsid w:val="7FD59461"/>
    <w:rsid w:val="7FDBE98D"/>
    <w:rsid w:val="7FDCAB43"/>
    <w:rsid w:val="7FE15510"/>
    <w:rsid w:val="7FE91E78"/>
    <w:rsid w:val="7FEB3232"/>
    <w:rsid w:val="7FF500C7"/>
    <w:rsid w:val="7FFBA8A6"/>
    <w:rsid w:val="7FFDE69B"/>
    <w:rsid w:val="8A379C7D"/>
    <w:rsid w:val="8AD7B623"/>
    <w:rsid w:val="977FC8CB"/>
    <w:rsid w:val="9B3165F2"/>
    <w:rsid w:val="9BFF3CF8"/>
    <w:rsid w:val="9CBD0B1A"/>
    <w:rsid w:val="9D7F0CB7"/>
    <w:rsid w:val="9EF781DE"/>
    <w:rsid w:val="9F67B1E1"/>
    <w:rsid w:val="A7F9C1DE"/>
    <w:rsid w:val="A9AD231D"/>
    <w:rsid w:val="ADFAC79E"/>
    <w:rsid w:val="AE7E1E17"/>
    <w:rsid w:val="AFC56981"/>
    <w:rsid w:val="B32F9DC2"/>
    <w:rsid w:val="B593FB7D"/>
    <w:rsid w:val="B75FE11F"/>
    <w:rsid w:val="B77B2A12"/>
    <w:rsid w:val="B9B92832"/>
    <w:rsid w:val="BBEF9792"/>
    <w:rsid w:val="BBF7C791"/>
    <w:rsid w:val="BCB7048F"/>
    <w:rsid w:val="BCF89F06"/>
    <w:rsid w:val="BD0F8C47"/>
    <w:rsid w:val="BEAF73DD"/>
    <w:rsid w:val="BEEE2B94"/>
    <w:rsid w:val="BF3E17A4"/>
    <w:rsid w:val="BF4F4689"/>
    <w:rsid w:val="BF8E36EE"/>
    <w:rsid w:val="BFAF0BB7"/>
    <w:rsid w:val="BFDFB85E"/>
    <w:rsid w:val="BFEDABFC"/>
    <w:rsid w:val="BFF739EC"/>
    <w:rsid w:val="BFF7D663"/>
    <w:rsid w:val="C3F5BA26"/>
    <w:rsid w:val="CB7D0B2D"/>
    <w:rsid w:val="CB9C4B68"/>
    <w:rsid w:val="CD7F54D6"/>
    <w:rsid w:val="CDCB4AA8"/>
    <w:rsid w:val="CDDEA08E"/>
    <w:rsid w:val="CF7F6B7D"/>
    <w:rsid w:val="D3F22235"/>
    <w:rsid w:val="D49B5E3D"/>
    <w:rsid w:val="D5B58DC7"/>
    <w:rsid w:val="D5DB8D8A"/>
    <w:rsid w:val="DB33A89B"/>
    <w:rsid w:val="DDAF5738"/>
    <w:rsid w:val="DDEFBA43"/>
    <w:rsid w:val="DDEFC054"/>
    <w:rsid w:val="DEAFB90F"/>
    <w:rsid w:val="DF21B821"/>
    <w:rsid w:val="DFBFBE16"/>
    <w:rsid w:val="DFD76A11"/>
    <w:rsid w:val="DFE797EB"/>
    <w:rsid w:val="DFEFC715"/>
    <w:rsid w:val="DFFF4786"/>
    <w:rsid w:val="E1B76C47"/>
    <w:rsid w:val="E3FE57E7"/>
    <w:rsid w:val="E6B7D24D"/>
    <w:rsid w:val="E6F77E68"/>
    <w:rsid w:val="E7BDE424"/>
    <w:rsid w:val="E7FF3C97"/>
    <w:rsid w:val="E7FFE685"/>
    <w:rsid w:val="E8D79DF8"/>
    <w:rsid w:val="E9F71F09"/>
    <w:rsid w:val="EAFD8D58"/>
    <w:rsid w:val="EB6C770B"/>
    <w:rsid w:val="EB7DD7C9"/>
    <w:rsid w:val="EBCD181E"/>
    <w:rsid w:val="EBDB640E"/>
    <w:rsid w:val="EBFF7898"/>
    <w:rsid w:val="ED9DB8D5"/>
    <w:rsid w:val="EDFF0807"/>
    <w:rsid w:val="EEC40EE9"/>
    <w:rsid w:val="EF7F4E2A"/>
    <w:rsid w:val="EF7F9BE8"/>
    <w:rsid w:val="EFCDBC8D"/>
    <w:rsid w:val="EFFFDD70"/>
    <w:rsid w:val="F1B778F1"/>
    <w:rsid w:val="F3FF743F"/>
    <w:rsid w:val="F4FF55F7"/>
    <w:rsid w:val="F5F7F5CB"/>
    <w:rsid w:val="F5F97876"/>
    <w:rsid w:val="F76CF7E9"/>
    <w:rsid w:val="F7B75D8A"/>
    <w:rsid w:val="F7DDD9EA"/>
    <w:rsid w:val="F7E39E90"/>
    <w:rsid w:val="F7EFF966"/>
    <w:rsid w:val="F7FD911C"/>
    <w:rsid w:val="F8EE49FF"/>
    <w:rsid w:val="F9DF2CA6"/>
    <w:rsid w:val="F9E8B31E"/>
    <w:rsid w:val="FB3326CC"/>
    <w:rsid w:val="FB9F5A91"/>
    <w:rsid w:val="FB9FDE2D"/>
    <w:rsid w:val="FBCE4D19"/>
    <w:rsid w:val="FBDBEF41"/>
    <w:rsid w:val="FBFE1D07"/>
    <w:rsid w:val="FBFF5E75"/>
    <w:rsid w:val="FCAB2178"/>
    <w:rsid w:val="FD4FEBD9"/>
    <w:rsid w:val="FD6F06FA"/>
    <w:rsid w:val="FDBF10AA"/>
    <w:rsid w:val="FDBF3869"/>
    <w:rsid w:val="FDBFFDC9"/>
    <w:rsid w:val="FDD6A258"/>
    <w:rsid w:val="FDFE7162"/>
    <w:rsid w:val="FE4F1E64"/>
    <w:rsid w:val="FE5FA0A2"/>
    <w:rsid w:val="FEAEC70B"/>
    <w:rsid w:val="FEBD1401"/>
    <w:rsid w:val="FEF339DB"/>
    <w:rsid w:val="FEFB2882"/>
    <w:rsid w:val="FEFD2C3B"/>
    <w:rsid w:val="FF57FBD6"/>
    <w:rsid w:val="FF5F2CB5"/>
    <w:rsid w:val="FF5FC2B3"/>
    <w:rsid w:val="FF7645E0"/>
    <w:rsid w:val="FFB70466"/>
    <w:rsid w:val="FFBC3961"/>
    <w:rsid w:val="FFCF003E"/>
    <w:rsid w:val="FFEE6CF6"/>
    <w:rsid w:val="FFFF2AF3"/>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名称2"/>
    <w:basedOn w:val="4"/>
    <w:qFormat/>
    <w:uiPriority w:val="0"/>
    <w:pPr>
      <w:spacing w:after="312" w:afterLines="100"/>
    </w:pPr>
    <w:rPr>
      <w:b w:val="0"/>
      <w:sz w:val="20"/>
    </w:rPr>
  </w:style>
  <w:style w:type="paragraph" w:customStyle="1" w:styleId="4">
    <w:name w:val="名称"/>
    <w:basedOn w:val="1"/>
    <w:qFormat/>
    <w:uiPriority w:val="0"/>
    <w:pPr>
      <w:jc w:val="center"/>
    </w:pPr>
    <w:rPr>
      <w:b/>
      <w:kern w:val="0"/>
      <w:sz w:val="44"/>
      <w:szCs w:val="20"/>
    </w:rPr>
  </w:style>
  <w:style w:type="paragraph" w:styleId="5">
    <w:name w:val="Normal Indent"/>
    <w:basedOn w:val="1"/>
    <w:next w:val="1"/>
    <w:qFormat/>
    <w:uiPriority w:val="99"/>
  </w:style>
  <w:style w:type="paragraph" w:styleId="6">
    <w:name w:val="annotation text"/>
    <w:basedOn w:val="1"/>
    <w:qFormat/>
    <w:uiPriority w:val="0"/>
    <w:pPr>
      <w:jc w:val="left"/>
    </w:pPr>
  </w:style>
  <w:style w:type="paragraph" w:styleId="7">
    <w:name w:val="Body Text"/>
    <w:basedOn w:val="1"/>
    <w:link w:val="19"/>
    <w:unhideWhenUsed/>
    <w:qFormat/>
    <w:uiPriority w:val="99"/>
    <w:pPr>
      <w:spacing w:after="120"/>
    </w:pPr>
  </w:style>
  <w:style w:type="paragraph" w:styleId="8">
    <w:name w:val="footer"/>
    <w:basedOn w:val="1"/>
    <w:link w:val="18"/>
    <w:qFormat/>
    <w:uiPriority w:val="0"/>
    <w:pPr>
      <w:tabs>
        <w:tab w:val="center" w:pos="4153"/>
        <w:tab w:val="right" w:pos="8306"/>
      </w:tabs>
      <w:snapToGrid w:val="0"/>
      <w:jc w:val="left"/>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0">
    <w:name w:val="toc 2"/>
    <w:basedOn w:val="1"/>
    <w:next w:val="1"/>
    <w:qFormat/>
    <w:uiPriority w:val="0"/>
    <w:pPr>
      <w:ind w:left="420" w:leftChars="200"/>
    </w:pPr>
    <w:rPr>
      <w:sz w:val="30"/>
    </w:rPr>
  </w:style>
  <w:style w:type="paragraph" w:styleId="11">
    <w:name w:val="Body Text First Indent"/>
    <w:basedOn w:val="7"/>
    <w:qFormat/>
    <w:uiPriority w:val="0"/>
    <w:pPr>
      <w:ind w:firstLine="420" w:firstLineChars="100"/>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styleId="16">
    <w:name w:val="annotation reference"/>
    <w:basedOn w:val="14"/>
    <w:qFormat/>
    <w:uiPriority w:val="0"/>
    <w:rPr>
      <w:sz w:val="21"/>
      <w:szCs w:val="21"/>
    </w:rPr>
  </w:style>
  <w:style w:type="character" w:customStyle="1" w:styleId="17">
    <w:name w:val="页眉 字符"/>
    <w:basedOn w:val="14"/>
    <w:link w:val="9"/>
    <w:qFormat/>
    <w:uiPriority w:val="0"/>
    <w:rPr>
      <w:rFonts w:ascii="Times New Roman" w:hAnsi="Times New Roman" w:eastAsia="宋体" w:cs="Times New Roman"/>
      <w:kern w:val="2"/>
      <w:sz w:val="18"/>
      <w:szCs w:val="18"/>
    </w:rPr>
  </w:style>
  <w:style w:type="character" w:customStyle="1" w:styleId="18">
    <w:name w:val="页脚 字符"/>
    <w:basedOn w:val="14"/>
    <w:link w:val="8"/>
    <w:qFormat/>
    <w:uiPriority w:val="0"/>
    <w:rPr>
      <w:rFonts w:ascii="Times New Roman" w:hAnsi="Times New Roman" w:eastAsia="宋体" w:cs="Times New Roman"/>
      <w:kern w:val="2"/>
      <w:sz w:val="18"/>
      <w:szCs w:val="18"/>
    </w:rPr>
  </w:style>
  <w:style w:type="character" w:customStyle="1" w:styleId="19">
    <w:name w:val="正文文本 字符"/>
    <w:basedOn w:val="14"/>
    <w:link w:val="7"/>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8"/>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 w:type="paragraph" w:customStyle="1" w:styleId="23">
    <w:name w:val="Table Text"/>
    <w:basedOn w:val="1"/>
    <w:semiHidden/>
    <w:qFormat/>
    <w:uiPriority w:val="0"/>
    <w:rPr>
      <w:rFonts w:ascii="微软雅黑" w:hAnsi="微软雅黑" w:eastAsia="微软雅黑" w:cs="微软雅黑"/>
      <w:sz w:val="24"/>
      <w:szCs w:val="24"/>
    </w:rPr>
  </w:style>
  <w:style w:type="table" w:customStyle="1" w:styleId="24">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其他省直机关单位</Company>
  <Pages>2</Pages>
  <Words>2254</Words>
  <Characters>2398</Characters>
  <Lines>1</Lines>
  <Paragraphs>1</Paragraphs>
  <TotalTime>7</TotalTime>
  <ScaleCrop>false</ScaleCrop>
  <LinksUpToDate>false</LinksUpToDate>
  <CharactersWithSpaces>3261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2025-02-24T01:36:00Z</dcterms:created>
  <dc:creator>张斌（反垄断处）</dc:creator>
  <cp:lastModifiedBy>Administrator</cp:lastModifiedBy>
  <cp:lastPrinted>2025-08-20T17:06:00Z</cp:lastPrinted>
  <dcterms:modified xsi:type="dcterms:W3CDTF">2026-02-11T01:26:22Z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2F510BCF826C43248232D30198221AB7</vt:lpwstr>
  </property>
  <property fmtid="{D5CDD505-2E9C-101B-9397-08002B2CF9AE}" pid="4" name="KSOTemplateDocerSaveRecord">
    <vt:lpwstr>eyJoZGlkIjoiMzU3ZmYyYjU1NWJiNDMwOTIzY2M5ZTRlYTgyYmU0Y2QiLCJ1c2VySWQiOiIzMTUzMjE3MTAifQ==</vt:lpwstr>
  </property>
</Properties>
</file>