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80"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80"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21</w:t>
      </w:r>
      <w:r>
        <w:rPr>
          <w:rFonts w:hint="eastAsia" w:eastAsia="仿宋_GB2312"/>
          <w:kern w:val="2"/>
          <w:sz w:val="32"/>
          <w:szCs w:val="32"/>
        </w:rPr>
        <w:t>号</w:t>
      </w:r>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当事人：</w:t>
      </w:r>
      <w:r>
        <w:rPr>
          <w:rFonts w:hint="default" w:ascii="Times New Roman" w:hAnsi="Times New Roman" w:eastAsia="仿宋_GB2312" w:cs="Times New Roman"/>
          <w:sz w:val="32"/>
          <w:szCs w:val="32"/>
        </w:rPr>
        <w:t>北京牛卡福网络科技有限公司</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住  所：北京市朝阳区西大望路1号</w:t>
      </w:r>
      <w:r>
        <w:rPr>
          <w:rFonts w:hint="eastAsia" w:eastAsia="仿宋_GB2312"/>
          <w:kern w:val="2"/>
          <w:sz w:val="32"/>
          <w:szCs w:val="32"/>
          <w:lang w:val="en-US" w:eastAsia="zh-CN"/>
        </w:rPr>
        <w:t>-</w:t>
      </w:r>
      <w:r>
        <w:rPr>
          <w:rFonts w:hint="eastAsia" w:eastAsia="仿宋_GB2312"/>
          <w:kern w:val="2"/>
          <w:sz w:val="32"/>
          <w:szCs w:val="32"/>
        </w:rPr>
        <w:t>1号楼7层801内01室</w:t>
      </w:r>
    </w:p>
    <w:p>
      <w:pPr>
        <w:pStyle w:val="2"/>
        <w:rPr>
          <w:rFonts w:hint="eastAsia"/>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根据《</w:t>
      </w:r>
      <w:r>
        <w:rPr>
          <w:rFonts w:hint="eastAsia" w:eastAsia="仿宋_GB2312"/>
          <w:kern w:val="2"/>
          <w:sz w:val="32"/>
          <w:szCs w:val="32"/>
          <w:lang w:eastAsia="zh-CN"/>
        </w:rPr>
        <w:t>中华人民共和国</w:t>
      </w:r>
      <w:r>
        <w:rPr>
          <w:rFonts w:hint="eastAsia" w:eastAsia="仿宋_GB2312"/>
          <w:kern w:val="2"/>
          <w:sz w:val="32"/>
          <w:szCs w:val="32"/>
        </w:rPr>
        <w:t>反垄断法》</w:t>
      </w:r>
      <w:r>
        <w:rPr>
          <w:rFonts w:hint="default" w:ascii="Times New Roman" w:hAnsi="Times New Roman" w:eastAsia="仿宋_GB2312" w:cs="Times New Roman"/>
          <w:sz w:val="32"/>
          <w:szCs w:val="32"/>
          <w:lang w:eastAsia="zh-CN"/>
        </w:rPr>
        <w:t>（以下简称</w:t>
      </w:r>
      <w:r>
        <w:rPr>
          <w:rFonts w:hint="eastAsia" w:eastAsia="仿宋_GB2312" w:cs="Times New Roman"/>
          <w:sz w:val="32"/>
          <w:lang w:eastAsia="zh-CN"/>
        </w:rPr>
        <w:t>《反垄断法》</w:t>
      </w:r>
      <w:r>
        <w:rPr>
          <w:rFonts w:hint="default" w:ascii="Times New Roman" w:hAnsi="Times New Roman" w:eastAsia="仿宋_GB2312" w:cs="Times New Roman"/>
          <w:sz w:val="32"/>
          <w:szCs w:val="32"/>
          <w:lang w:eastAsia="zh-CN"/>
        </w:rPr>
        <w:t>）</w:t>
      </w:r>
      <w:r>
        <w:rPr>
          <w:rFonts w:hint="eastAsia" w:ascii="Times New Roman" w:hAnsi="Times New Roman" w:eastAsia="仿宋_GB2312" w:cs="Times New Roman"/>
          <w:kern w:val="2"/>
          <w:sz w:val="32"/>
          <w:szCs w:val="32"/>
          <w:lang w:eastAsia="zh-CN"/>
        </w:rPr>
        <w:t>《经营者集中审查暂行规定》</w:t>
      </w:r>
      <w:r>
        <w:rPr>
          <w:rFonts w:hint="eastAsia" w:eastAsia="仿宋_GB2312"/>
          <w:kern w:val="2"/>
          <w:sz w:val="32"/>
          <w:szCs w:val="32"/>
        </w:rPr>
        <w:t>，本机关于</w:t>
      </w:r>
      <w:r>
        <w:rPr>
          <w:rFonts w:hint="eastAsia" w:ascii="Times New Roman" w:hAnsi="Times New Roman" w:eastAsia="仿宋_GB2312" w:cs="Times New Roman"/>
          <w:sz w:val="32"/>
          <w:szCs w:val="32"/>
          <w:lang w:val="en-US" w:eastAsia="zh-CN"/>
        </w:rPr>
        <w:t>2021年1</w:t>
      </w:r>
      <w:r>
        <w:rPr>
          <w:rFonts w:hint="default" w:ascii="Times New Roman" w:hAnsi="Times New Roman" w:eastAsia="仿宋_GB2312" w:cs="Times New Roman"/>
          <w:sz w:val="32"/>
          <w:lang w:val="en-US" w:eastAsia="zh-CN"/>
        </w:rPr>
        <w:t>月</w:t>
      </w:r>
      <w:r>
        <w:rPr>
          <w:rFonts w:hint="eastAsia" w:ascii="Times New Roman" w:hAnsi="Times New Roman" w:eastAsia="仿宋_GB2312" w:cs="Times New Roman"/>
          <w:sz w:val="32"/>
          <w:lang w:val="en-US" w:eastAsia="zh-CN"/>
        </w:rPr>
        <w:t>25</w:t>
      </w:r>
      <w:r>
        <w:rPr>
          <w:rFonts w:hint="default" w:ascii="Times New Roman" w:hAnsi="Times New Roman" w:eastAsia="仿宋_GB2312" w:cs="Times New Roman"/>
          <w:sz w:val="32"/>
          <w:lang w:val="en-US" w:eastAsia="zh-CN"/>
        </w:rPr>
        <w:t>日</w:t>
      </w:r>
      <w:r>
        <w:rPr>
          <w:rFonts w:hint="default" w:ascii="Times New Roman" w:hAnsi="Times New Roman" w:eastAsia="仿宋_GB2312" w:cs="Times New Roman"/>
          <w:kern w:val="2"/>
          <w:sz w:val="32"/>
          <w:szCs w:val="32"/>
        </w:rPr>
        <w:t>对</w:t>
      </w:r>
      <w:r>
        <w:rPr>
          <w:rFonts w:hint="default" w:ascii="Times New Roman" w:hAnsi="Times New Roman" w:eastAsia="仿宋_GB2312" w:cs="Times New Roman"/>
          <w:sz w:val="32"/>
          <w:szCs w:val="32"/>
        </w:rPr>
        <w:t>北京牛卡福网络科技有限公司</w:t>
      </w:r>
      <w:r>
        <w:rPr>
          <w:rFonts w:hint="eastAsia" w:ascii="Times New Roman" w:hAnsi="Times New Roman" w:eastAsia="仿宋_GB2312" w:cs="Times New Roman"/>
          <w:sz w:val="32"/>
          <w:szCs w:val="32"/>
          <w:lang w:eastAsia="zh-CN"/>
        </w:rPr>
        <w:t>（以下简称牛卡福）</w:t>
      </w:r>
      <w:r>
        <w:rPr>
          <w:rFonts w:hint="default" w:ascii="Times New Roman" w:hAnsi="Times New Roman" w:eastAsia="仿宋_GB2312" w:cs="Times New Roman"/>
          <w:sz w:val="32"/>
          <w:szCs w:val="32"/>
        </w:rPr>
        <w:t>收购河北宝兑通电子商务有限公司</w:t>
      </w:r>
      <w:r>
        <w:rPr>
          <w:rFonts w:hint="eastAsia" w:ascii="Times New Roman" w:hAnsi="Times New Roman" w:eastAsia="仿宋_GB2312" w:cs="Times New Roman"/>
          <w:sz w:val="32"/>
          <w:szCs w:val="32"/>
          <w:lang w:eastAsia="zh-CN"/>
        </w:rPr>
        <w:t>（以下简称</w:t>
      </w:r>
      <w:r>
        <w:rPr>
          <w:rFonts w:hint="default" w:ascii="Times New Roman" w:hAnsi="Times New Roman" w:eastAsia="仿宋_GB2312" w:cs="Times New Roman"/>
          <w:sz w:val="32"/>
          <w:szCs w:val="32"/>
        </w:rPr>
        <w:t>宝兑通</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股权涉嫌</w:t>
      </w:r>
      <w:r>
        <w:rPr>
          <w:rFonts w:hint="eastAsia" w:ascii="Times New Roman" w:hAnsi="Times New Roman" w:eastAsia="仿宋_GB2312" w:cs="Times New Roman"/>
          <w:sz w:val="32"/>
          <w:szCs w:val="32"/>
          <w:lang w:eastAsia="zh-CN"/>
        </w:rPr>
        <w:t>违法实施经营者集中</w:t>
      </w:r>
      <w:r>
        <w:rPr>
          <w:rFonts w:hint="default" w:ascii="Times New Roman" w:hAnsi="Times New Roman" w:eastAsia="仿宋_GB2312" w:cs="Times New Roman"/>
          <w:sz w:val="32"/>
          <w:szCs w:val="32"/>
        </w:rPr>
        <w:t>案</w:t>
      </w:r>
      <w:r>
        <w:rPr>
          <w:rFonts w:hint="eastAsia" w:eastAsia="仿宋_GB2312"/>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w:t>
      </w:r>
      <w:r>
        <w:rPr>
          <w:rFonts w:hint="eastAsia" w:eastAsia="仿宋_GB2312"/>
          <w:kern w:val="2"/>
          <w:sz w:val="32"/>
          <w:szCs w:val="32"/>
          <w:lang w:eastAsia="zh-CN"/>
        </w:rPr>
        <w:t>未依法申报</w:t>
      </w:r>
      <w:r>
        <w:rPr>
          <w:rFonts w:hint="eastAsia" w:eastAsia="仿宋_GB2312"/>
          <w:kern w:val="2"/>
          <w:sz w:val="32"/>
          <w:szCs w:val="32"/>
        </w:rPr>
        <w:t>违法实施的经营者集中，但不具有排除、限制竞争的效果。本机关按照《</w:t>
      </w:r>
      <w:r>
        <w:rPr>
          <w:rFonts w:hint="eastAsia" w:eastAsia="仿宋_GB2312"/>
          <w:kern w:val="2"/>
          <w:sz w:val="32"/>
          <w:szCs w:val="32"/>
          <w:lang w:eastAsia="zh-CN"/>
        </w:rPr>
        <w:t>中华人民共和国</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（以下简称</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w:t>
      </w:r>
      <w:r>
        <w:rPr>
          <w:rFonts w:hint="eastAsia" w:eastAsia="仿宋_GB2312"/>
          <w:kern w:val="2"/>
          <w:sz w:val="32"/>
          <w:szCs w:val="32"/>
        </w:rPr>
        <w:t>的规定，向</w:t>
      </w:r>
      <w:r>
        <w:rPr>
          <w:rFonts w:hint="eastAsia" w:ascii="Times New Roman" w:hAnsi="Times New Roman" w:eastAsia="仿宋_GB2312" w:cs="Times New Roman"/>
          <w:sz w:val="32"/>
          <w:szCs w:val="32"/>
          <w:lang w:eastAsia="zh-CN"/>
        </w:rPr>
        <w:t>牛卡福</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eastAsia" w:ascii="Times New Roman" w:hAnsi="Times New Roman" w:eastAsia="仿宋_GB2312" w:cs="Times New Roman"/>
          <w:sz w:val="32"/>
          <w:szCs w:val="32"/>
          <w:lang w:eastAsia="zh-CN"/>
        </w:rPr>
        <w:t>牛卡福</w:t>
      </w:r>
      <w:r>
        <w:rPr>
          <w:rFonts w:hint="eastAsia" w:eastAsia="仿宋_GB2312"/>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（一）交易方。</w:t>
      </w:r>
    </w:p>
    <w:p>
      <w:pPr>
        <w:pStyle w:val="7"/>
        <w:pageBreakBefore w:val="0"/>
        <w:kinsoku/>
        <w:wordWrap/>
        <w:topLinePunct w:val="0"/>
        <w:bidi w:val="0"/>
        <w:spacing w:line="594" w:lineRule="exact"/>
        <w:ind w:left="0" w:firstLine="643"/>
        <w:textAlignment w:val="auto"/>
        <w:rPr>
          <w:rFonts w:hint="default" w:ascii="Times New Roman" w:hAnsi="Times New Roman" w:cs="Times New Roman"/>
          <w:b w:val="0"/>
          <w:bCs/>
        </w:rPr>
      </w:pPr>
      <w:r>
        <w:rPr>
          <w:rFonts w:hint="default" w:ascii="Times New Roman" w:hAnsi="Times New Roman" w:cs="Times New Roman"/>
          <w:b/>
        </w:rPr>
        <w:t>收购方：牛卡福。</w:t>
      </w:r>
      <w:r>
        <w:rPr>
          <w:rFonts w:hint="default" w:ascii="Times New Roman" w:hAnsi="Times New Roman" w:cs="Times New Roman"/>
          <w:b w:val="0"/>
          <w:bCs/>
        </w:rPr>
        <w:t>201</w:t>
      </w:r>
      <w:r>
        <w:rPr>
          <w:rFonts w:hint="eastAsia" w:ascii="Times New Roman" w:hAnsi="Times New Roman" w:cs="Times New Roman"/>
          <w:b w:val="0"/>
          <w:bCs/>
          <w:lang w:val="en-US" w:eastAsia="zh-CN"/>
        </w:rPr>
        <w:t>6</w:t>
      </w:r>
      <w:r>
        <w:rPr>
          <w:rFonts w:hint="default" w:ascii="Times New Roman" w:hAnsi="Times New Roman" w:cs="Times New Roman"/>
          <w:b w:val="0"/>
          <w:bCs/>
        </w:rPr>
        <w:t>年</w:t>
      </w:r>
      <w:r>
        <w:rPr>
          <w:rFonts w:hint="eastAsia" w:ascii="Times New Roman" w:hAnsi="Times New Roman" w:cs="Times New Roman"/>
          <w:b w:val="0"/>
          <w:bCs/>
          <w:lang w:eastAsia="zh-CN"/>
        </w:rPr>
        <w:t>在北京市注册成立</w:t>
      </w:r>
      <w:r>
        <w:rPr>
          <w:rFonts w:hint="default" w:ascii="Times New Roman" w:hAnsi="Times New Roman" w:cs="Times New Roman"/>
          <w:b w:val="0"/>
          <w:bCs/>
        </w:rPr>
        <w:t>，</w:t>
      </w:r>
      <w:r>
        <w:rPr>
          <w:rFonts w:hint="default" w:ascii="Times New Roman" w:hAnsi="Times New Roman" w:cs="Times New Roman"/>
          <w:b w:val="0"/>
          <w:bCs/>
          <w:lang w:eastAsia="zh-CN"/>
        </w:rPr>
        <w:t>最终控制人</w:t>
      </w:r>
      <w:r>
        <w:rPr>
          <w:rFonts w:hint="eastAsia" w:ascii="Times New Roman" w:hAnsi="Times New Roman" w:cs="Times New Roman"/>
          <w:b w:val="0"/>
          <w:bCs/>
          <w:lang w:eastAsia="zh-CN"/>
        </w:rPr>
        <w:t>为（略）。牛卡福主要业务包括成品油销售和ETC业务等</w:t>
      </w:r>
      <w:r>
        <w:rPr>
          <w:rFonts w:hint="default" w:ascii="Times New Roman" w:hAnsi="Times New Roman" w:cs="Times New Roman"/>
          <w:b w:val="0"/>
          <w:bCs/>
          <w:highlight w:val="none"/>
        </w:rPr>
        <w:t>。</w:t>
      </w:r>
      <w:r>
        <w:rPr>
          <w:rFonts w:hint="eastAsia" w:ascii="Times New Roman" w:hAnsi="Times New Roman" w:cs="Times New Roman"/>
          <w:b w:val="0"/>
          <w:bCs/>
          <w:lang w:eastAsia="zh-CN"/>
        </w:rPr>
        <w:t>牛卡福</w:t>
      </w:r>
      <w:r>
        <w:rPr>
          <w:rFonts w:hint="default" w:ascii="Times New Roman" w:hAnsi="Times New Roman" w:cs="Times New Roman"/>
          <w:b w:val="0"/>
          <w:bCs/>
        </w:rPr>
        <w:t>201</w:t>
      </w:r>
      <w:r>
        <w:rPr>
          <w:rFonts w:hint="eastAsia" w:ascii="Times New Roman" w:hAnsi="Times New Roman" w:cs="Times New Roman"/>
          <w:b w:val="0"/>
          <w:bCs/>
          <w:lang w:val="en-US" w:eastAsia="zh-CN"/>
        </w:rPr>
        <w:t>9</w:t>
      </w:r>
      <w:r>
        <w:rPr>
          <w:rFonts w:hint="default" w:ascii="Times New Roman" w:hAnsi="Times New Roman" w:cs="Times New Roman"/>
          <w:b w:val="0"/>
          <w:bCs/>
        </w:rPr>
        <w:t>年全球</w:t>
      </w:r>
      <w:r>
        <w:rPr>
          <w:rFonts w:hint="default" w:ascii="Times New Roman" w:hAnsi="Times New Roman" w:cs="Times New Roman"/>
          <w:b w:val="0"/>
          <w:bCs/>
          <w:lang w:eastAsia="zh-CN"/>
        </w:rPr>
        <w:t>和</w:t>
      </w:r>
      <w:r>
        <w:rPr>
          <w:rFonts w:hint="default" w:ascii="Times New Roman" w:hAnsi="Times New Roman" w:cs="Times New Roman"/>
          <w:b w:val="0"/>
          <w:bCs/>
        </w:rPr>
        <w:t>中国境内营业额</w:t>
      </w:r>
      <w:r>
        <w:rPr>
          <w:rFonts w:hint="default" w:ascii="Times New Roman" w:hAnsi="Times New Roman" w:cs="Times New Roman"/>
          <w:b w:val="0"/>
          <w:bCs/>
          <w:lang w:eastAsia="zh-CN"/>
        </w:rPr>
        <w:t>均</w:t>
      </w:r>
      <w:r>
        <w:rPr>
          <w:rFonts w:hint="default" w:ascii="Times New Roman" w:hAnsi="Times New Roman" w:cs="Times New Roman"/>
          <w:b w:val="0"/>
          <w:bCs/>
        </w:rPr>
        <w:t>为</w:t>
      </w:r>
      <w:r>
        <w:rPr>
          <w:rFonts w:hint="eastAsia" w:ascii="Times New Roman" w:hAnsi="Times New Roman" w:cs="Times New Roman"/>
          <w:b w:val="0"/>
          <w:bCs/>
          <w:lang w:eastAsia="zh-CN"/>
        </w:rPr>
        <w:t>（略）</w:t>
      </w:r>
      <w:r>
        <w:rPr>
          <w:rFonts w:hint="default" w:ascii="Times New Roman" w:hAnsi="Times New Roman" w:cs="Times New Roman"/>
          <w:b w:val="0"/>
          <w:bCs/>
          <w:lang w:eastAsia="zh-CN"/>
        </w:rPr>
        <w:t>人民币（币种下同）</w:t>
      </w:r>
      <w:r>
        <w:rPr>
          <w:rFonts w:hint="default" w:ascii="Times New Roman" w:hAnsi="Times New Roman" w:cs="Times New Roman"/>
          <w:b w:val="0"/>
          <w:bCs/>
        </w:rPr>
        <w:t>。</w:t>
      </w:r>
    </w:p>
    <w:p>
      <w:pPr>
        <w:pStyle w:val="7"/>
        <w:pageBreakBefore w:val="0"/>
        <w:kinsoku/>
        <w:wordWrap/>
        <w:topLinePunct w:val="0"/>
        <w:bidi w:val="0"/>
        <w:spacing w:line="594" w:lineRule="exact"/>
        <w:ind w:left="0" w:firstLine="643"/>
        <w:textAlignment w:val="auto"/>
        <w:rPr>
          <w:rFonts w:hint="default" w:ascii="Times New Roman" w:hAnsi="Times New Roman" w:cs="Times New Roman"/>
          <w:b w:val="0"/>
          <w:bCs/>
          <w:lang w:eastAsia="zh-CN"/>
        </w:rPr>
      </w:pPr>
      <w:r>
        <w:rPr>
          <w:rFonts w:hint="default" w:ascii="Times New Roman" w:hAnsi="Times New Roman" w:cs="Times New Roman"/>
          <w:b/>
        </w:rPr>
        <w:t>被收购方：</w:t>
      </w:r>
      <w:r>
        <w:rPr>
          <w:rFonts w:hint="eastAsia" w:ascii="Times New Roman" w:hAnsi="Times New Roman" w:cs="Times New Roman"/>
          <w:b/>
          <w:kern w:val="2"/>
          <w:lang w:eastAsia="zh-CN"/>
        </w:rPr>
        <w:t>宝兑通</w:t>
      </w:r>
      <w:r>
        <w:rPr>
          <w:rFonts w:hint="default" w:ascii="Times New Roman" w:hAnsi="Times New Roman" w:cs="Times New Roman"/>
          <w:b/>
        </w:rPr>
        <w:t>。</w:t>
      </w:r>
      <w:r>
        <w:rPr>
          <w:rFonts w:hint="default" w:ascii="Times New Roman" w:hAnsi="Times New Roman" w:cs="Times New Roman"/>
          <w:b w:val="0"/>
          <w:bCs/>
        </w:rPr>
        <w:t>2</w:t>
      </w:r>
      <w:r>
        <w:rPr>
          <w:rFonts w:hint="eastAsia" w:ascii="Times New Roman" w:hAnsi="Times New Roman" w:cs="Times New Roman"/>
          <w:b w:val="0"/>
          <w:bCs/>
          <w:lang w:val="en-US" w:eastAsia="zh-CN"/>
        </w:rPr>
        <w:t>015</w:t>
      </w:r>
      <w:r>
        <w:rPr>
          <w:rFonts w:hint="default" w:ascii="Times New Roman" w:hAnsi="Times New Roman" w:cs="Times New Roman"/>
          <w:b w:val="0"/>
          <w:bCs/>
        </w:rPr>
        <w:t>年</w:t>
      </w:r>
      <w:r>
        <w:rPr>
          <w:rFonts w:hint="eastAsia" w:ascii="Times New Roman" w:hAnsi="Times New Roman" w:cs="Times New Roman"/>
          <w:b w:val="0"/>
          <w:bCs/>
          <w:lang w:eastAsia="zh-CN"/>
        </w:rPr>
        <w:t>在河北省遵化市注册成立</w:t>
      </w:r>
      <w:r>
        <w:rPr>
          <w:rFonts w:hint="default" w:ascii="Times New Roman" w:hAnsi="Times New Roman" w:cs="Times New Roman"/>
          <w:b w:val="0"/>
          <w:bCs/>
        </w:rPr>
        <w:t>，</w:t>
      </w:r>
      <w:r>
        <w:rPr>
          <w:rFonts w:hint="default" w:ascii="Times New Roman" w:hAnsi="Times New Roman" w:cs="Times New Roman"/>
          <w:b w:val="0"/>
          <w:bCs/>
          <w:lang w:eastAsia="zh-CN"/>
        </w:rPr>
        <w:t>最终控制人为</w:t>
      </w:r>
      <w:r>
        <w:rPr>
          <w:rFonts w:hint="eastAsia" w:ascii="Times New Roman" w:hAnsi="Times New Roman" w:cs="Times New Roman"/>
          <w:b w:val="0"/>
          <w:bCs/>
          <w:lang w:eastAsia="zh-CN"/>
        </w:rPr>
        <w:t>（略）</w:t>
      </w:r>
      <w:r>
        <w:rPr>
          <w:rFonts w:hint="default" w:ascii="Times New Roman" w:hAnsi="Times New Roman" w:cs="Times New Roman"/>
          <w:b w:val="0"/>
          <w:bCs/>
          <w:highlight w:val="none"/>
          <w:lang w:eastAsia="zh-CN"/>
        </w:rPr>
        <w:t>。</w:t>
      </w:r>
      <w:r>
        <w:rPr>
          <w:rFonts w:hint="default" w:ascii="Times New Roman" w:hAnsi="Times New Roman" w:cs="Times New Roman"/>
          <w:b w:val="0"/>
          <w:bCs/>
        </w:rPr>
        <w:t>主要从事LNG加气卡业务、汽车贸易业务、能源贸易业务等。</w:t>
      </w:r>
      <w:r>
        <w:rPr>
          <w:rFonts w:hint="default" w:ascii="Times New Roman" w:hAnsi="Times New Roman" w:eastAsia="仿宋_GB2312" w:cs="Times New Roman"/>
          <w:bCs/>
          <w:sz w:val="32"/>
        </w:rPr>
        <w:t>宝兑通</w:t>
      </w:r>
      <w:r>
        <w:rPr>
          <w:rFonts w:hint="default" w:ascii="Times New Roman" w:hAnsi="Times New Roman" w:cs="Times New Roman"/>
          <w:b w:val="0"/>
          <w:bCs/>
        </w:rPr>
        <w:t>201</w:t>
      </w:r>
      <w:r>
        <w:rPr>
          <w:rFonts w:hint="eastAsia" w:ascii="Times New Roman" w:hAnsi="Times New Roman" w:cs="Times New Roman"/>
          <w:b w:val="0"/>
          <w:bCs/>
          <w:lang w:val="en-US" w:eastAsia="zh-CN"/>
        </w:rPr>
        <w:t>9</w:t>
      </w:r>
      <w:r>
        <w:rPr>
          <w:rFonts w:hint="default" w:ascii="Times New Roman" w:hAnsi="Times New Roman" w:cs="Times New Roman"/>
          <w:b w:val="0"/>
          <w:bCs/>
        </w:rPr>
        <w:t>年全球和中国境内营业额均</w:t>
      </w:r>
      <w:r>
        <w:rPr>
          <w:rFonts w:hint="default" w:ascii="Times New Roman" w:hAnsi="Times New Roman" w:cs="Times New Roman"/>
          <w:b w:val="0"/>
          <w:bCs/>
          <w:highlight w:val="none"/>
        </w:rPr>
        <w:t>为</w:t>
      </w:r>
      <w:r>
        <w:rPr>
          <w:rFonts w:hint="eastAsia" w:ascii="Times New Roman" w:hAnsi="Times New Roman" w:cs="Times New Roman"/>
          <w:b w:val="0"/>
          <w:bCs/>
          <w:lang w:eastAsia="zh-CN"/>
        </w:rPr>
        <w:t>（略）</w:t>
      </w:r>
      <w:r>
        <w:rPr>
          <w:rFonts w:hint="default" w:ascii="Times New Roman" w:hAnsi="Times New Roman" w:cs="Times New Roman"/>
          <w:b w:val="0"/>
          <w:bCs/>
          <w:highlight w:val="none"/>
          <w:lang w:eastAsia="zh-CN"/>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（二）交易概况。</w:t>
      </w:r>
    </w:p>
    <w:p>
      <w:pPr>
        <w:pStyle w:val="7"/>
        <w:pageBreakBefore w:val="0"/>
        <w:kinsoku/>
        <w:wordWrap/>
        <w:topLinePunct w:val="0"/>
        <w:bidi w:val="0"/>
        <w:spacing w:line="594" w:lineRule="exact"/>
        <w:ind w:left="0" w:firstLine="640"/>
        <w:textAlignment w:val="auto"/>
        <w:rPr>
          <w:rFonts w:hint="default" w:ascii="Times New Roman" w:hAnsi="Times New Roman" w:cs="Times New Roman"/>
          <w:sz w:val="24"/>
          <w:szCs w:val="24"/>
          <w:lang w:eastAsia="zh-CN"/>
        </w:rPr>
      </w:pPr>
      <w:r>
        <w:rPr>
          <w:rFonts w:hint="default" w:ascii="Times New Roman" w:hAnsi="Times New Roman" w:eastAsia="仿宋_GB2312" w:cs="Times New Roman"/>
          <w:bCs/>
          <w:sz w:val="32"/>
        </w:rPr>
        <w:t>本交易</w:t>
      </w:r>
      <w:r>
        <w:rPr>
          <w:rFonts w:hint="eastAsia" w:ascii="Times New Roman" w:hAnsi="Times New Roman" w:cs="Times New Roman"/>
          <w:bCs/>
          <w:sz w:val="32"/>
          <w:lang w:eastAsia="zh-CN"/>
        </w:rPr>
        <w:t>系股权收购。</w:t>
      </w:r>
      <w:r>
        <w:rPr>
          <w:rFonts w:hint="default" w:ascii="Times New Roman" w:hAnsi="Times New Roman" w:eastAsia="仿宋_GB2312" w:cs="Times New Roman"/>
          <w:bCs/>
          <w:sz w:val="32"/>
        </w:rPr>
        <w:t>2020年</w:t>
      </w:r>
      <w:r>
        <w:rPr>
          <w:rFonts w:hint="eastAsia" w:ascii="Times New Roman" w:hAnsi="Times New Roman" w:cs="Times New Roman"/>
          <w:bCs/>
          <w:sz w:val="32"/>
          <w:lang w:val="en-US" w:eastAsia="zh-CN"/>
        </w:rPr>
        <w:t>8月7日，</w:t>
      </w:r>
      <w:r>
        <w:rPr>
          <w:rFonts w:hint="default" w:ascii="Times New Roman" w:hAnsi="Times New Roman" w:eastAsia="仿宋_GB2312" w:cs="Times New Roman"/>
          <w:color w:val="000000"/>
          <w:u w:val="none"/>
        </w:rPr>
        <w:t>牛卡福</w:t>
      </w:r>
      <w:r>
        <w:rPr>
          <w:rFonts w:hint="eastAsia" w:ascii="Times New Roman" w:hAnsi="Times New Roman" w:cs="Times New Roman"/>
          <w:color w:val="000000"/>
          <w:u w:val="none"/>
          <w:lang w:eastAsia="zh-CN"/>
        </w:rPr>
        <w:t>与</w:t>
      </w:r>
      <w:r>
        <w:rPr>
          <w:rFonts w:hint="default" w:ascii="Times New Roman" w:hAnsi="Times New Roman" w:eastAsia="仿宋_GB2312" w:cs="Times New Roman"/>
          <w:color w:val="000000"/>
          <w:u w:val="none"/>
        </w:rPr>
        <w:t>宝兑通</w:t>
      </w:r>
      <w:r>
        <w:rPr>
          <w:rFonts w:hint="eastAsia" w:ascii="Times New Roman" w:hAnsi="Times New Roman" w:cs="Times New Roman"/>
          <w:color w:val="000000"/>
          <w:u w:val="none"/>
          <w:lang w:eastAsia="zh-CN"/>
        </w:rPr>
        <w:t>等</w:t>
      </w:r>
      <w:r>
        <w:rPr>
          <w:rFonts w:hint="default" w:ascii="Times New Roman" w:hAnsi="Times New Roman" w:eastAsia="仿宋_GB2312" w:cs="Times New Roman"/>
          <w:color w:val="000000"/>
          <w:u w:val="none"/>
        </w:rPr>
        <w:t>签署《重组协议》《A轮优先股股权购买协议》</w:t>
      </w:r>
      <w:r>
        <w:rPr>
          <w:rFonts w:hint="default" w:ascii="Times New Roman" w:hAnsi="Times New Roman" w:eastAsia="仿宋_GB2312" w:cs="Times New Roman"/>
          <w:bCs/>
          <w:color w:val="000000"/>
          <w:u w:val="none"/>
        </w:rPr>
        <w:t>，</w:t>
      </w:r>
      <w:r>
        <w:rPr>
          <w:rFonts w:hint="eastAsia" w:ascii="Times New Roman" w:hAnsi="Times New Roman" w:cs="Times New Roman"/>
          <w:bCs/>
          <w:sz w:val="32"/>
          <w:lang w:eastAsia="zh-CN"/>
        </w:rPr>
        <w:t>以4.43亿元收购</w:t>
      </w:r>
      <w:r>
        <w:rPr>
          <w:rFonts w:hint="default" w:ascii="Times New Roman" w:hAnsi="Times New Roman" w:eastAsia="仿宋_GB2312" w:cs="Times New Roman"/>
          <w:bCs/>
          <w:sz w:val="32"/>
        </w:rPr>
        <w:t>宝兑通</w:t>
      </w:r>
      <w:r>
        <w:rPr>
          <w:rFonts w:hint="eastAsia" w:ascii="Times New Roman" w:hAnsi="Times New Roman" w:cs="Times New Roman"/>
          <w:bCs/>
          <w:sz w:val="32"/>
          <w:lang w:val="en-US" w:eastAsia="zh-CN"/>
        </w:rPr>
        <w:t>100%股权</w:t>
      </w:r>
      <w:r>
        <w:rPr>
          <w:rFonts w:hint="default" w:ascii="Times New Roman" w:hAnsi="Times New Roman" w:eastAsia="仿宋_GB2312" w:cs="Times New Roman"/>
          <w:color w:val="000000"/>
          <w:u w:val="none"/>
        </w:rPr>
        <w:t>。</w:t>
      </w:r>
      <w:r>
        <w:rPr>
          <w:rFonts w:hint="eastAsia" w:ascii="Times New Roman" w:hAnsi="Times New Roman" w:cs="Times New Roman"/>
          <w:bCs/>
          <w:sz w:val="32"/>
          <w:lang w:val="en-US" w:eastAsia="zh-CN"/>
        </w:rPr>
        <w:t>10月15日，</w:t>
      </w:r>
      <w:r>
        <w:rPr>
          <w:rFonts w:hint="default" w:ascii="Times New Roman" w:hAnsi="Times New Roman" w:eastAsia="仿宋_GB2312" w:cs="Times New Roman"/>
          <w:bCs/>
          <w:sz w:val="32"/>
        </w:rPr>
        <w:t>宝兑通</w:t>
      </w:r>
      <w:r>
        <w:rPr>
          <w:rFonts w:hint="eastAsia" w:ascii="Times New Roman" w:hAnsi="Times New Roman" w:cs="Times New Roman"/>
          <w:bCs/>
          <w:sz w:val="32"/>
          <w:lang w:val="en-US" w:eastAsia="zh-CN"/>
        </w:rPr>
        <w:t>完成股权变更登记</w:t>
      </w:r>
      <w:r>
        <w:rPr>
          <w:rFonts w:hint="default" w:ascii="Times New Roman" w:hAnsi="Times New Roman" w:eastAsia="仿宋_GB2312" w:cs="Times New Roman"/>
          <w:sz w:val="32"/>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（一）本案构成未依法申报违法实施的经营者集中。</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default" w:ascii="Times New Roman" w:hAnsi="Times New Roman" w:eastAsia="仿宋_GB2312" w:cs="Times New Roman"/>
          <w:bCs/>
          <w:sz w:val="32"/>
        </w:rPr>
        <w:t>牛卡福</w:t>
      </w:r>
      <w:r>
        <w:rPr>
          <w:rFonts w:hint="eastAsia" w:ascii="Times New Roman" w:hAnsi="Times New Roman" w:eastAsia="仿宋_GB2312" w:cs="Times New Roman"/>
          <w:bCs/>
          <w:sz w:val="32"/>
          <w:lang w:eastAsia="zh-CN"/>
        </w:rPr>
        <w:t>收购</w:t>
      </w:r>
      <w:r>
        <w:rPr>
          <w:rFonts w:hint="default" w:ascii="Times New Roman" w:hAnsi="Times New Roman" w:eastAsia="仿宋_GB2312" w:cs="Times New Roman"/>
          <w:bCs/>
          <w:sz w:val="32"/>
        </w:rPr>
        <w:t>宝兑通</w:t>
      </w:r>
      <w:r>
        <w:rPr>
          <w:rFonts w:hint="eastAsia" w:ascii="Times New Roman" w:hAnsi="Times New Roman" w:eastAsia="仿宋_GB2312" w:cs="Times New Roman"/>
          <w:bCs/>
          <w:sz w:val="32"/>
          <w:lang w:val="en-US" w:eastAsia="zh-CN"/>
        </w:rPr>
        <w:t>100</w:t>
      </w:r>
      <w:r>
        <w:rPr>
          <w:rFonts w:hint="default" w:ascii="Times New Roman" w:hAnsi="Times New Roman" w:eastAsia="仿宋_GB2312" w:cs="Times New Roman"/>
          <w:bCs/>
          <w:sz w:val="32"/>
        </w:rPr>
        <w:t>%股权，</w:t>
      </w:r>
      <w:r>
        <w:rPr>
          <w:rFonts w:hint="default" w:ascii="Times New Roman" w:hAnsi="Times New Roman" w:eastAsia="仿宋_GB2312" w:cs="Times New Roman"/>
          <w:sz w:val="32"/>
        </w:rPr>
        <w:t>取得</w:t>
      </w:r>
      <w:r>
        <w:rPr>
          <w:rFonts w:hint="default" w:ascii="Times New Roman" w:hAnsi="Times New Roman" w:eastAsia="仿宋_GB2312" w:cs="Times New Roman"/>
          <w:bCs/>
          <w:sz w:val="32"/>
        </w:rPr>
        <w:t>宝兑通</w:t>
      </w:r>
      <w:r>
        <w:rPr>
          <w:rFonts w:hint="default" w:ascii="Times New Roman" w:hAnsi="Times New Roman" w:eastAsia="仿宋_GB2312" w:cs="Times New Roman"/>
          <w:sz w:val="32"/>
        </w:rPr>
        <w:t>控制权</w:t>
      </w:r>
      <w:r>
        <w:rPr>
          <w:rFonts w:hint="default" w:ascii="Times New Roman" w:hAnsi="Times New Roman" w:eastAsia="仿宋_GB2312" w:cs="Times New Roman"/>
          <w:sz w:val="32"/>
          <w:szCs w:val="32"/>
        </w:rPr>
        <w:t>，属于《反垄断法》第二十条规定的经营者集中。</w:t>
      </w:r>
    </w:p>
    <w:p>
      <w:pPr>
        <w:keepNext w:val="0"/>
        <w:keepLines w:val="0"/>
        <w:pageBreakBefore w:val="0"/>
        <w:widowControl w:val="0"/>
        <w:kinsoku/>
        <w:wordWrap/>
        <w:topLinePunct w:val="0"/>
        <w:bidi w:val="0"/>
        <w:spacing w:line="594"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SA"/>
        </w:rPr>
        <w:t>牛卡福2019年全球和中国境内营业额均为</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lang w:val="en-US" w:eastAsia="zh-CN" w:bidi="ar-SA"/>
        </w:rPr>
        <w:t>，宝兑通2019年全球和中国境内营业额均为</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rPr>
        <w:t>达到《国务院关于经营者集中申报标准的规定》第</w:t>
      </w:r>
      <w:r>
        <w:rPr>
          <w:rFonts w:hint="eastAsia" w:ascii="Times New Roman" w:hAnsi="Times New Roman" w:eastAsia="仿宋_GB2312" w:cs="Times New Roman"/>
          <w:kern w:val="2"/>
          <w:sz w:val="32"/>
          <w:szCs w:val="32"/>
          <w:lang w:val="en-US" w:eastAsia="zh-CN"/>
        </w:rPr>
        <w:t>三</w:t>
      </w:r>
      <w:r>
        <w:rPr>
          <w:rFonts w:hint="default" w:ascii="Times New Roman" w:hAnsi="Times New Roman" w:eastAsia="仿宋_GB2312" w:cs="Times New Roman"/>
          <w:kern w:val="2"/>
          <w:sz w:val="32"/>
          <w:szCs w:val="32"/>
        </w:rPr>
        <w:t>条规定的申报标准，属于应当申报的情形。</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rPr>
        <w:t>《反垄断法》第二十一条</w:t>
      </w:r>
      <w:r>
        <w:rPr>
          <w:rFonts w:hint="default" w:ascii="Times New Roman" w:hAnsi="Times New Roman" w:eastAsia="仿宋_GB2312" w:cs="Times New Roman"/>
          <w:sz w:val="32"/>
          <w:szCs w:val="32"/>
          <w:lang w:eastAsia="zh-CN"/>
        </w:rPr>
        <w:t>规定“经营者集中达到国务院规定的申报标准的，经营者应当事先向国务院反垄断执法机构申报，未申报的不得实施集中”。2020年10月15日，</w:t>
      </w:r>
      <w:r>
        <w:rPr>
          <w:rFonts w:hint="default" w:ascii="Times New Roman" w:hAnsi="Times New Roman" w:eastAsia="仿宋_GB2312" w:cs="Times New Roman"/>
          <w:bCs/>
          <w:sz w:val="32"/>
        </w:rPr>
        <w:t>宝兑通</w:t>
      </w:r>
      <w:r>
        <w:rPr>
          <w:rFonts w:hint="default" w:ascii="Times New Roman" w:hAnsi="Times New Roman" w:eastAsia="仿宋_GB2312" w:cs="Times New Roman"/>
          <w:sz w:val="32"/>
          <w:szCs w:val="32"/>
          <w:lang w:eastAsia="zh-CN"/>
        </w:rPr>
        <w:t>完成股权变更登记</w:t>
      </w:r>
      <w:r>
        <w:rPr>
          <w:rFonts w:hint="default" w:ascii="Times New Roman" w:hAnsi="Times New Roman" w:eastAsia="仿宋_GB2312" w:cs="Times New Roman"/>
          <w:color w:val="000000"/>
          <w:kern w:val="2"/>
          <w:sz w:val="32"/>
          <w:szCs w:val="32"/>
        </w:rPr>
        <w:t>，</w:t>
      </w:r>
      <w:r>
        <w:rPr>
          <w:rFonts w:hint="default" w:ascii="Times New Roman" w:hAnsi="Times New Roman" w:eastAsia="仿宋_GB2312" w:cs="Times New Roman"/>
          <w:kern w:val="2"/>
          <w:sz w:val="32"/>
          <w:szCs w:val="32"/>
        </w:rPr>
        <w:t>在此之前未向我局申报，违反《反垄断法》第</w:t>
      </w:r>
      <w:r>
        <w:rPr>
          <w:rFonts w:hint="eastAsia" w:ascii="Times New Roman" w:hAnsi="Times New Roman" w:eastAsia="仿宋_GB2312" w:cs="Times New Roman"/>
          <w:kern w:val="2"/>
          <w:sz w:val="32"/>
          <w:szCs w:val="32"/>
          <w:lang w:val="en-US" w:eastAsia="zh-CN"/>
        </w:rPr>
        <w:t>二十一</w:t>
      </w:r>
      <w:r>
        <w:rPr>
          <w:rFonts w:hint="default" w:ascii="Times New Roman" w:hAnsi="Times New Roman" w:eastAsia="仿宋_GB2312" w:cs="Times New Roman"/>
          <w:kern w:val="2"/>
          <w:sz w:val="32"/>
          <w:szCs w:val="32"/>
        </w:rPr>
        <w:t>条，构成未依法申报</w:t>
      </w:r>
      <w:r>
        <w:rPr>
          <w:rFonts w:hint="eastAsia" w:eastAsia="仿宋_GB2312" w:cs="Times New Roman"/>
          <w:kern w:val="2"/>
          <w:sz w:val="32"/>
          <w:szCs w:val="32"/>
          <w:lang w:eastAsia="zh-CN"/>
        </w:rPr>
        <w:t>违法实施</w:t>
      </w:r>
      <w:r>
        <w:rPr>
          <w:rFonts w:hint="default" w:ascii="Times New Roman" w:hAnsi="Times New Roman" w:eastAsia="仿宋_GB2312" w:cs="Times New Roman"/>
          <w:kern w:val="2"/>
          <w:sz w:val="32"/>
          <w:szCs w:val="32"/>
        </w:rPr>
        <w:t>的经营者集中。</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（二）本案不具有排除、限制竞争的效果。</w:t>
      </w:r>
    </w:p>
    <w:p>
      <w:pPr>
        <w:keepNext w:val="0"/>
        <w:keepLines w:val="0"/>
        <w:pageBreakBefore w:val="0"/>
        <w:widowControl w:val="0"/>
        <w:kinsoku/>
        <w:wordWrap/>
        <w:topLinePunct w:val="0"/>
        <w:bidi w:val="0"/>
        <w:spacing w:line="580" w:lineRule="exact"/>
        <w:ind w:firstLine="628"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default" w:ascii="Times New Roman" w:hAnsi="Times New Roman" w:eastAsia="仿宋_GB2312" w:cs="Times New Roman"/>
          <w:sz w:val="32"/>
          <w:szCs w:val="32"/>
        </w:rPr>
        <w:t>牛卡福收购宝兑通</w:t>
      </w:r>
      <w:r>
        <w:rPr>
          <w:rFonts w:hint="eastAsia" w:ascii="Times New Roman" w:hAnsi="Times New Roman" w:eastAsia="仿宋_GB2312" w:cs="Times New Roman"/>
          <w:sz w:val="32"/>
          <w:szCs w:val="32"/>
          <w:lang w:eastAsia="zh-CN"/>
        </w:rPr>
        <w:t>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580"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基于调查情况和评估结论，本机关给予</w:t>
      </w:r>
      <w:r>
        <w:rPr>
          <w:rFonts w:hint="default" w:ascii="Times New Roman" w:hAnsi="Times New Roman" w:eastAsia="仿宋_GB2312" w:cs="Times New Roman"/>
          <w:sz w:val="32"/>
          <w:szCs w:val="32"/>
        </w:rPr>
        <w:t>牛卡福</w:t>
      </w:r>
      <w:r>
        <w:rPr>
          <w:rFonts w:hint="eastAsia" w:eastAsia="仿宋_GB2312" w:cs="Times New Roman"/>
          <w:bCs/>
          <w:color w:val="000000"/>
          <w:kern w:val="2"/>
          <w:sz w:val="32"/>
          <w:szCs w:val="32"/>
          <w:lang w:val="en-US" w:eastAsia="zh-CN"/>
        </w:rPr>
        <w:t>50</w:t>
      </w:r>
      <w:r>
        <w:rPr>
          <w:rFonts w:hint="default" w:ascii="Times New Roman" w:hAnsi="Times New Roman" w:eastAsia="仿宋_GB2312" w:cs="Times New Roman"/>
          <w:bCs/>
          <w:color w:val="000000"/>
          <w:kern w:val="2"/>
          <w:sz w:val="32"/>
          <w:szCs w:val="32"/>
        </w:rPr>
        <w:t>万元人民币</w:t>
      </w:r>
      <w:r>
        <w:rPr>
          <w:rFonts w:hint="eastAsia" w:ascii="Times New Roman" w:hAnsi="Times New Roman" w:eastAsia="仿宋_GB2312" w:cs="Times New Roman"/>
          <w:bCs/>
          <w:color w:val="000000"/>
          <w:kern w:val="2"/>
          <w:sz w:val="32"/>
          <w:szCs w:val="32"/>
          <w:lang w:eastAsia="zh-CN"/>
        </w:rPr>
        <w:t>罚款</w:t>
      </w:r>
      <w:r>
        <w:rPr>
          <w:rFonts w:hint="default" w:ascii="Times New Roman" w:hAnsi="Times New Roman" w:eastAsia="仿宋_GB2312" w:cs="Times New Roman"/>
          <w:bCs/>
          <w:color w:val="000000"/>
          <w:kern w:val="2"/>
          <w:sz w:val="32"/>
          <w:szCs w:val="32"/>
        </w:rPr>
        <w:t>的行政处罚。</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eastAsia" w:eastAsia="仿宋_GB2312"/>
          <w:kern w:val="2"/>
          <w:sz w:val="32"/>
          <w:szCs w:val="32"/>
          <w:lang w:val="en-US" w:eastAsia="zh-CN"/>
        </w:rPr>
        <w:t>0000002100081725</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80"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580" w:lineRule="exact"/>
        <w:ind w:firstLine="5225" w:firstLineChars="1664"/>
        <w:textAlignment w:val="auto"/>
        <w:rPr>
          <w:rFonts w:eastAsia="仿宋_GB2312"/>
          <w:kern w:val="2"/>
          <w:sz w:val="32"/>
          <w:szCs w:val="32"/>
        </w:rPr>
      </w:pPr>
      <w:r>
        <w:rPr>
          <w:rFonts w:hint="eastAsia" w:eastAsia="仿宋_GB2312"/>
          <w:kern w:val="2"/>
          <w:sz w:val="32"/>
          <w:szCs w:val="32"/>
        </w:rPr>
        <w:t>202</w:t>
      </w:r>
      <w:r>
        <w:rPr>
          <w:rFonts w:hint="eastAsia" w:eastAsia="仿宋_GB2312"/>
          <w:kern w:val="2"/>
          <w:sz w:val="32"/>
          <w:szCs w:val="32"/>
          <w:lang w:val="en-US" w:eastAsia="zh-CN"/>
        </w:rPr>
        <w:t>1</w:t>
      </w:r>
      <w:bookmarkStart w:id="0" w:name="_GoBack"/>
      <w:bookmarkEnd w:id="0"/>
      <w:r>
        <w:rPr>
          <w:rFonts w:hint="eastAsia" w:eastAsia="仿宋_GB2312"/>
          <w:kern w:val="2"/>
          <w:sz w:val="32"/>
          <w:szCs w:val="32"/>
        </w:rPr>
        <w:t>年</w:t>
      </w:r>
      <w:r>
        <w:rPr>
          <w:rFonts w:hint="eastAsia" w:eastAsia="仿宋_GB2312"/>
          <w:kern w:val="2"/>
          <w:sz w:val="32"/>
          <w:szCs w:val="32"/>
          <w:lang w:val="en-US" w:eastAsia="zh-CN"/>
        </w:rPr>
        <w:t>3</w:t>
      </w:r>
      <w:r>
        <w:rPr>
          <w:rFonts w:hint="eastAsia" w:eastAsia="仿宋_GB2312"/>
          <w:kern w:val="2"/>
          <w:sz w:val="32"/>
          <w:szCs w:val="32"/>
        </w:rPr>
        <w:t>月</w:t>
      </w:r>
      <w:r>
        <w:rPr>
          <w:rFonts w:hint="eastAsia" w:eastAsia="仿宋_GB2312"/>
          <w:kern w:val="2"/>
          <w:sz w:val="32"/>
          <w:szCs w:val="32"/>
          <w:lang w:val="en-US" w:eastAsia="zh-CN"/>
        </w:rPr>
        <w:t>12</w:t>
      </w:r>
      <w:r>
        <w:rPr>
          <w:rFonts w:hint="eastAsia" w:eastAsia="仿宋_GB2312"/>
          <w:kern w:val="2"/>
          <w:sz w:val="32"/>
          <w:szCs w:val="32"/>
        </w:rPr>
        <w:t>日</w:t>
      </w:r>
    </w:p>
    <w:p>
      <w:pPr>
        <w:keepNext w:val="0"/>
        <w:keepLines w:val="0"/>
        <w:pageBreakBefore w:val="0"/>
        <w:widowControl w:val="0"/>
        <w:kinsoku/>
        <w:wordWrap/>
        <w:topLinePunct w:val="0"/>
        <w:bidi w:val="0"/>
        <w:spacing w:line="580" w:lineRule="exact"/>
        <w:ind w:firstLine="628" w:firstLineChars="200"/>
        <w:textAlignment w:val="auto"/>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ind w:left="315" w:leftChars="150" w:right="315" w:rightChars="150"/>
      <w:rPr>
        <w:rStyle w:val="5"/>
        <w:rFonts w:hint="eastAsia" w:ascii="宋体" w:hAnsi="宋体"/>
        <w:sz w:val="28"/>
        <w:szCs w:val="28"/>
      </w:rPr>
    </w:pPr>
    <w:r>
      <w:rPr>
        <w:rStyle w:val="5"/>
        <w:rFonts w:hint="eastAsia" w:ascii="宋体" w:hAnsi="宋体"/>
        <w:sz w:val="28"/>
        <w:szCs w:val="28"/>
      </w:rPr>
      <w:t xml:space="preserve">— </w:t>
    </w:r>
    <w:r>
      <w:rPr>
        <w:rStyle w:val="5"/>
        <w:rFonts w:ascii="宋体" w:hAnsi="宋体"/>
        <w:sz w:val="28"/>
        <w:szCs w:val="28"/>
      </w:rPr>
      <w:fldChar w:fldCharType="begin"/>
    </w:r>
    <w:r>
      <w:rPr>
        <w:rStyle w:val="5"/>
        <w:rFonts w:ascii="宋体" w:hAnsi="宋体"/>
        <w:sz w:val="28"/>
        <w:szCs w:val="28"/>
      </w:rPr>
      <w:instrText xml:space="preserve">PAGE  </w:instrText>
    </w:r>
    <w:r>
      <w:rPr>
        <w:rStyle w:val="5"/>
        <w:rFonts w:ascii="宋体" w:hAnsi="宋体"/>
        <w:sz w:val="28"/>
        <w:szCs w:val="28"/>
      </w:rPr>
      <w:fldChar w:fldCharType="separate"/>
    </w:r>
    <w:r>
      <w:rPr>
        <w:rStyle w:val="5"/>
        <w:rFonts w:ascii="宋体" w:hAnsi="宋体"/>
        <w:sz w:val="28"/>
        <w:szCs w:val="28"/>
      </w:rPr>
      <w:t>1</w:t>
    </w:r>
    <w:r>
      <w:rPr>
        <w:rStyle w:val="5"/>
        <w:rFonts w:ascii="宋体" w:hAnsi="宋体"/>
        <w:sz w:val="28"/>
        <w:szCs w:val="28"/>
      </w:rPr>
      <w:fldChar w:fldCharType="end"/>
    </w:r>
    <w:r>
      <w:rPr>
        <w:rStyle w:val="5"/>
        <w:rFonts w:hint="eastAsia" w:ascii="宋体" w:hAnsi="宋体"/>
        <w:sz w:val="28"/>
        <w:szCs w:val="28"/>
      </w:rPr>
      <w:t xml:space="preserve"> —</w:t>
    </w:r>
  </w:p>
  <w:p>
    <w:pPr>
      <w:pStyle w:val="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rPr>
        <w:rStyle w:val="5"/>
      </w:rPr>
    </w:pPr>
    <w:r>
      <w:rPr>
        <w:rStyle w:val="5"/>
      </w:rPr>
      <w:fldChar w:fldCharType="begin"/>
    </w:r>
    <w:r>
      <w:rPr>
        <w:rStyle w:val="5"/>
      </w:rPr>
      <w:instrText xml:space="preserve">PAGE  </w:instrText>
    </w:r>
    <w:r>
      <w:rPr>
        <w:rStyle w:val="5"/>
      </w:rPr>
      <w:fldChar w:fldCharType="end"/>
    </w:r>
  </w:p>
  <w:p>
    <w:pPr>
      <w:pStyle w:val="3"/>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54E1463"/>
    <w:rsid w:val="05D91FB2"/>
    <w:rsid w:val="05F665F5"/>
    <w:rsid w:val="075F674C"/>
    <w:rsid w:val="09AC08F5"/>
    <w:rsid w:val="1524637A"/>
    <w:rsid w:val="161C7F53"/>
    <w:rsid w:val="16657401"/>
    <w:rsid w:val="18DB1E51"/>
    <w:rsid w:val="192053EE"/>
    <w:rsid w:val="1A156921"/>
    <w:rsid w:val="1B095395"/>
    <w:rsid w:val="1BC34EC8"/>
    <w:rsid w:val="1D3570B1"/>
    <w:rsid w:val="1F573D93"/>
    <w:rsid w:val="228E390E"/>
    <w:rsid w:val="265326DA"/>
    <w:rsid w:val="28C8606C"/>
    <w:rsid w:val="29171A1E"/>
    <w:rsid w:val="31E778A8"/>
    <w:rsid w:val="33A32201"/>
    <w:rsid w:val="33B94AAA"/>
    <w:rsid w:val="38043EF0"/>
    <w:rsid w:val="48C57982"/>
    <w:rsid w:val="49513DE5"/>
    <w:rsid w:val="49F75885"/>
    <w:rsid w:val="4A9A74DB"/>
    <w:rsid w:val="4ABC40B8"/>
    <w:rsid w:val="4CDE053E"/>
    <w:rsid w:val="4EF957B9"/>
    <w:rsid w:val="4EFD73AF"/>
    <w:rsid w:val="51075873"/>
    <w:rsid w:val="54CF5962"/>
    <w:rsid w:val="54F45442"/>
    <w:rsid w:val="5A3F4258"/>
    <w:rsid w:val="5BDD2331"/>
    <w:rsid w:val="5D4E6DD5"/>
    <w:rsid w:val="60043694"/>
    <w:rsid w:val="69557534"/>
    <w:rsid w:val="6BB44C91"/>
    <w:rsid w:val="6F712D0C"/>
    <w:rsid w:val="7073388E"/>
    <w:rsid w:val="777004A0"/>
    <w:rsid w:val="7A782B89"/>
    <w:rsid w:val="7BFA2936"/>
    <w:rsid w:val="7D641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footer"/>
    <w:basedOn w:val="1"/>
    <w:qFormat/>
    <w:uiPriority w:val="0"/>
    <w:pPr>
      <w:tabs>
        <w:tab w:val="center" w:pos="4153"/>
        <w:tab w:val="right" w:pos="8306"/>
      </w:tabs>
      <w:snapToGrid w:val="0"/>
      <w:jc w:val="left"/>
    </w:pPr>
    <w:rPr>
      <w:sz w:val="18"/>
      <w:szCs w:val="18"/>
    </w:rPr>
  </w:style>
  <w:style w:type="character" w:styleId="5">
    <w:name w:val="page number"/>
    <w:basedOn w:val="4"/>
    <w:qFormat/>
    <w:uiPriority w:val="0"/>
  </w:style>
  <w:style w:type="paragraph" w:customStyle="1" w:styleId="7">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2020-12-10T02:26:00Z</dcterms:created>
  <dc:creator>徐霄飞</dc:creator>
  <cp:lastModifiedBy>xielin</cp:lastModifiedBy>
  <cp:lastPrinted>2021-03-10T01:22:00Z</cp:lastPrinted>
  <dcterms:modified xsi:type="dcterms:W3CDTF">2021-03-11T10:32:10Z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