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27</w:t>
      </w:r>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仿宋_GB2312" w:eastAsia="仿宋_GB2312"/>
          <w:sz w:val="32"/>
          <w:szCs w:val="32"/>
          <w:lang w:eastAsia="zh-CN"/>
        </w:rPr>
      </w:pPr>
      <w:r>
        <w:rPr>
          <w:rFonts w:hint="eastAsia" w:ascii="黑体" w:hAnsi="黑体" w:eastAsia="黑体" w:cs="黑体"/>
          <w:kern w:val="2"/>
          <w:sz w:val="32"/>
          <w:szCs w:val="32"/>
        </w:rPr>
        <w:t>当事人：</w:t>
      </w:r>
      <w:r>
        <w:rPr>
          <w:rFonts w:hint="default" w:ascii="Times New Roman" w:hAnsi="Times New Roman" w:eastAsia="仿宋_GB2312" w:cs="Times New Roman"/>
          <w:sz w:val="32"/>
          <w:lang w:val="en-US" w:eastAsia="zh-CN"/>
        </w:rPr>
        <w:t>弘云久康数据技术(北京)有限公司</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left="1876" w:leftChars="304" w:hanging="1256" w:hangingChars="400"/>
        <w:textAlignment w:val="auto"/>
        <w:rPr>
          <w:rFonts w:hint="eastAsia" w:eastAsia="仿宋_GB2312"/>
          <w:color w:val="auto"/>
          <w:kern w:val="2"/>
          <w:sz w:val="32"/>
          <w:szCs w:val="32"/>
        </w:rPr>
      </w:pPr>
      <w:r>
        <w:rPr>
          <w:rFonts w:hint="eastAsia" w:ascii="黑体" w:hAnsi="黑体" w:eastAsia="黑体" w:cs="黑体"/>
          <w:kern w:val="2"/>
          <w:sz w:val="32"/>
          <w:szCs w:val="32"/>
        </w:rPr>
        <w:t>住  所：</w:t>
      </w:r>
      <w:r>
        <w:rPr>
          <w:rFonts w:hint="eastAsia" w:eastAsia="仿宋_GB2312"/>
          <w:color w:val="auto"/>
          <w:kern w:val="2"/>
          <w:sz w:val="32"/>
          <w:szCs w:val="32"/>
          <w:lang w:eastAsia="zh-CN"/>
        </w:rPr>
        <w:t>北京市朝阳区望京东园四区</w:t>
      </w:r>
      <w:r>
        <w:rPr>
          <w:rFonts w:hint="eastAsia" w:eastAsia="仿宋_GB2312"/>
          <w:color w:val="auto"/>
          <w:kern w:val="2"/>
          <w:sz w:val="32"/>
          <w:szCs w:val="32"/>
          <w:lang w:val="en-US" w:eastAsia="zh-CN"/>
        </w:rPr>
        <w:t>7号楼16层1601、1602、1606室</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仿宋_GB2312" w:eastAsia="仿宋_GB2312"/>
          <w:color w:val="auto"/>
          <w:sz w:val="32"/>
          <w:szCs w:val="32"/>
          <w:lang w:eastAsia="zh-CN"/>
        </w:rPr>
      </w:pPr>
      <w:r>
        <w:rPr>
          <w:rFonts w:hint="eastAsia" w:ascii="黑体" w:hAnsi="黑体" w:eastAsia="黑体" w:cs="黑体"/>
          <w:kern w:val="2"/>
          <w:sz w:val="32"/>
          <w:szCs w:val="32"/>
        </w:rPr>
        <w:t>当事人：</w:t>
      </w:r>
      <w:r>
        <w:rPr>
          <w:rFonts w:hint="default" w:ascii="Times New Roman" w:hAnsi="Times New Roman" w:eastAsia="仿宋_GB2312" w:cs="Times New Roman"/>
          <w:color w:val="auto"/>
          <w:sz w:val="32"/>
          <w:lang w:val="en-US" w:eastAsia="zh-CN"/>
        </w:rPr>
        <w:t>上海云鑫创业投资有限公司</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仿宋_GB2312" w:eastAsia="仿宋_GB2312"/>
          <w:color w:val="auto"/>
          <w:sz w:val="32"/>
          <w:szCs w:val="32"/>
          <w:lang w:val="en-US" w:eastAsia="zh-CN"/>
        </w:rPr>
      </w:pPr>
      <w:r>
        <w:rPr>
          <w:rFonts w:hint="eastAsia" w:ascii="黑体" w:hAnsi="黑体" w:eastAsia="黑体" w:cs="黑体"/>
          <w:kern w:val="2"/>
          <w:sz w:val="32"/>
          <w:szCs w:val="32"/>
        </w:rPr>
        <w:t>住  所：</w:t>
      </w:r>
      <w:r>
        <w:rPr>
          <w:rFonts w:hint="eastAsia" w:eastAsia="仿宋_GB2312"/>
          <w:color w:val="auto"/>
          <w:kern w:val="2"/>
          <w:sz w:val="32"/>
          <w:szCs w:val="32"/>
          <w:lang w:eastAsia="zh-CN"/>
        </w:rPr>
        <w:t>上海市黄浦区蒙自路</w:t>
      </w:r>
      <w:r>
        <w:rPr>
          <w:rFonts w:hint="eastAsia" w:eastAsia="仿宋_GB2312"/>
          <w:color w:val="auto"/>
          <w:kern w:val="2"/>
          <w:sz w:val="32"/>
          <w:szCs w:val="32"/>
          <w:lang w:val="en-US" w:eastAsia="zh-CN"/>
        </w:rPr>
        <w:t>207号13号楼419室</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eastAsia" w:eastAsia="仿宋_GB2312"/>
          <w:kern w:val="2"/>
          <w:sz w:val="32"/>
          <w:szCs w:val="32"/>
          <w:lang w:eastAsia="zh-CN"/>
        </w:rPr>
        <w:t>（以下简称《反垄断法》）、</w:t>
      </w:r>
      <w:r>
        <w:rPr>
          <w:rFonts w:hint="eastAsia" w:ascii="Times New Roman" w:hAnsi="Times New Roman" w:eastAsia="仿宋_GB2312" w:cs="Times New Roman"/>
          <w:kern w:val="2"/>
          <w:sz w:val="32"/>
          <w:szCs w:val="32"/>
          <w:lang w:eastAsia="zh-CN"/>
        </w:rPr>
        <w:t>《经营者集中审查暂行规定》</w:t>
      </w:r>
      <w:r>
        <w:rPr>
          <w:rFonts w:hint="eastAsia" w:eastAsia="仿宋_GB2312"/>
          <w:kern w:val="2"/>
          <w:sz w:val="32"/>
          <w:szCs w:val="32"/>
        </w:rPr>
        <w:t>，本机关于</w:t>
      </w:r>
      <w:r>
        <w:rPr>
          <w:rFonts w:hint="default" w:ascii="Times New Roman" w:hAnsi="Times New Roman" w:eastAsia="仿宋_GB2312" w:cs="Times New Roman"/>
          <w:kern w:val="2"/>
          <w:sz w:val="32"/>
          <w:szCs w:val="32"/>
          <w:lang w:val="en-US" w:eastAsia="zh-CN"/>
        </w:rPr>
        <w:t>20</w:t>
      </w:r>
      <w:r>
        <w:rPr>
          <w:rFonts w:hint="eastAsia" w:eastAsia="仿宋_GB2312" w:cs="Times New Roman"/>
          <w:kern w:val="2"/>
          <w:sz w:val="32"/>
          <w:szCs w:val="32"/>
          <w:lang w:val="en-US" w:eastAsia="zh-CN"/>
        </w:rPr>
        <w:t>21</w:t>
      </w:r>
      <w:r>
        <w:rPr>
          <w:rFonts w:hint="default" w:ascii="Times New Roman" w:hAnsi="Times New Roman" w:eastAsia="仿宋_GB2312" w:cs="Times New Roman"/>
          <w:kern w:val="2"/>
          <w:sz w:val="32"/>
          <w:szCs w:val="32"/>
          <w:lang w:val="en-US" w:eastAsia="zh-CN"/>
        </w:rPr>
        <w:t>年</w:t>
      </w:r>
      <w:r>
        <w:rPr>
          <w:rFonts w:hint="eastAsia" w:eastAsia="仿宋_GB2312" w:cs="Times New Roman"/>
          <w:kern w:val="2"/>
          <w:sz w:val="32"/>
          <w:szCs w:val="32"/>
          <w:lang w:val="en-US" w:eastAsia="zh-CN"/>
        </w:rPr>
        <w:t>1</w:t>
      </w:r>
      <w:r>
        <w:rPr>
          <w:rFonts w:hint="default" w:ascii="Times New Roman" w:hAnsi="Times New Roman" w:eastAsia="仿宋_GB2312" w:cs="Times New Roman"/>
          <w:kern w:val="2"/>
          <w:sz w:val="32"/>
          <w:szCs w:val="32"/>
          <w:lang w:val="en-US" w:eastAsia="zh-CN"/>
        </w:rPr>
        <w:t>月</w:t>
      </w:r>
      <w:r>
        <w:rPr>
          <w:rFonts w:hint="eastAsia" w:eastAsia="仿宋_GB2312" w:cs="Times New Roman"/>
          <w:kern w:val="2"/>
          <w:sz w:val="32"/>
          <w:szCs w:val="32"/>
          <w:lang w:val="en-US" w:eastAsia="zh-CN"/>
        </w:rPr>
        <w:t>25</w:t>
      </w:r>
      <w:r>
        <w:rPr>
          <w:rFonts w:hint="default" w:ascii="Times New Roman" w:hAnsi="Times New Roman" w:eastAsia="仿宋_GB2312" w:cs="Times New Roman"/>
          <w:kern w:val="2"/>
          <w:sz w:val="32"/>
          <w:szCs w:val="32"/>
          <w:lang w:val="en-US" w:eastAsia="zh-CN"/>
        </w:rPr>
        <w:t>日</w:t>
      </w:r>
      <w:r>
        <w:rPr>
          <w:rFonts w:hint="eastAsia" w:eastAsia="仿宋_GB2312"/>
          <w:kern w:val="2"/>
          <w:sz w:val="32"/>
          <w:szCs w:val="32"/>
        </w:rPr>
        <w:t>对</w:t>
      </w:r>
      <w:r>
        <w:rPr>
          <w:rFonts w:hint="default" w:ascii="Times New Roman" w:hAnsi="Times New Roman" w:eastAsia="仿宋_GB2312" w:cs="Times New Roman"/>
          <w:sz w:val="32"/>
          <w:lang w:val="en-US" w:eastAsia="zh-CN"/>
        </w:rPr>
        <w:t>弘云久康数据技术(北京)有限公司（以下简称弘云久康）与上海云鑫创业投资有限公司（以下简称上海云鑫）设立合营企业浙江扁鹊健康数据技术有限公司（以下简称浙江扁</w:t>
      </w:r>
      <w:r>
        <w:rPr>
          <w:rFonts w:hint="default" w:ascii="Times New Roman" w:hAnsi="Times New Roman" w:eastAsia="仿宋_GB2312" w:cs="Times New Roman"/>
          <w:b w:val="0"/>
          <w:bCs/>
          <w:sz w:val="32"/>
          <w:szCs w:val="32"/>
        </w:rPr>
        <w:t>鹊</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lang w:val="en-US" w:eastAsia="zh-CN"/>
        </w:rPr>
        <w:t>涉嫌违法实施经营者集中案</w:t>
      </w:r>
      <w:r>
        <w:rPr>
          <w:rFonts w:hint="eastAsia" w:eastAsia="仿宋_GB2312"/>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eastAsia" w:eastAsia="仿宋_GB2312"/>
          <w:kern w:val="2"/>
          <w:sz w:val="32"/>
          <w:szCs w:val="32"/>
          <w:lang w:eastAsia="zh-CN"/>
        </w:rPr>
        <w:t>（以下简称</w:t>
      </w:r>
      <w:r>
        <w:rPr>
          <w:rFonts w:hint="eastAsia" w:eastAsia="仿宋_GB2312"/>
          <w:kern w:val="2"/>
          <w:sz w:val="32"/>
          <w:szCs w:val="32"/>
        </w:rPr>
        <w:t>《行政处罚法》</w:t>
      </w:r>
      <w:r>
        <w:rPr>
          <w:rFonts w:hint="eastAsia" w:eastAsia="仿宋_GB2312"/>
          <w:kern w:val="2"/>
          <w:sz w:val="32"/>
          <w:szCs w:val="32"/>
          <w:lang w:eastAsia="zh-CN"/>
        </w:rPr>
        <w:t>）</w:t>
      </w:r>
      <w:r>
        <w:rPr>
          <w:rFonts w:hint="eastAsia" w:eastAsia="仿宋_GB2312"/>
          <w:kern w:val="2"/>
          <w:sz w:val="32"/>
          <w:szCs w:val="32"/>
        </w:rPr>
        <w:t>的规定，向</w:t>
      </w:r>
      <w:r>
        <w:rPr>
          <w:rFonts w:hint="eastAsia" w:eastAsia="仿宋_GB2312" w:cs="Times New Roman"/>
          <w:kern w:val="2"/>
          <w:sz w:val="32"/>
          <w:szCs w:val="32"/>
          <w:lang w:val="en-US" w:eastAsia="zh-CN"/>
        </w:rPr>
        <w:t>当事人</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default" w:ascii="Times New Roman" w:hAnsi="Times New Roman" w:eastAsia="仿宋_GB2312" w:cs="Times New Roman"/>
          <w:spacing w:val="0"/>
          <w:sz w:val="32"/>
          <w:szCs w:val="32"/>
          <w:lang w:val="en-US" w:eastAsia="zh-CN"/>
        </w:rPr>
        <w:t>当事方</w:t>
      </w:r>
      <w:r>
        <w:rPr>
          <w:rFonts w:hint="eastAsia" w:ascii="Times New Roman" w:hAnsi="Times New Roman" w:eastAsia="仿宋_GB2312" w:cs="Times New Roman"/>
          <w:spacing w:val="0"/>
          <w:sz w:val="32"/>
          <w:szCs w:val="32"/>
          <w:lang w:val="en-US" w:eastAsia="zh-CN"/>
        </w:rPr>
        <w:t>来函放弃陈述、申辩和要求举行听证的权利。</w:t>
      </w:r>
      <w:r>
        <w:rPr>
          <w:rFonts w:hint="eastAsia" w:eastAsia="仿宋_GB2312"/>
          <w:kern w:val="2"/>
          <w:sz w:val="32"/>
          <w:szCs w:val="32"/>
        </w:rPr>
        <w:t>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val="0"/>
          <w:bCs w:val="0"/>
          <w:kern w:val="2"/>
          <w:sz w:val="32"/>
          <w:szCs w:val="32"/>
        </w:rPr>
      </w:pPr>
      <w:r>
        <w:rPr>
          <w:rFonts w:hint="default" w:ascii="Times New Roman" w:hAnsi="Times New Roman" w:eastAsia="楷体_GB2312" w:cs="Times New Roman"/>
          <w:b w:val="0"/>
          <w:bCs w:val="0"/>
          <w:kern w:val="2"/>
          <w:sz w:val="32"/>
          <w:szCs w:val="32"/>
        </w:rPr>
        <w:t>（一）交易方。</w:t>
      </w:r>
    </w:p>
    <w:p>
      <w:pPr>
        <w:pStyle w:val="3"/>
        <w:keepNext w:val="0"/>
        <w:keepLines w:val="0"/>
        <w:pageBreakBefore w:val="0"/>
        <w:widowControl w:val="0"/>
        <w:kinsoku/>
        <w:wordWrap/>
        <w:topLinePunct w:val="0"/>
        <w:bidi w:val="0"/>
        <w:snapToGrid/>
        <w:spacing w:after="0" w:line="594" w:lineRule="exact"/>
        <w:ind w:firstLine="628" w:firstLineChars="200"/>
        <w:textAlignment w:val="auto"/>
        <w:rPr>
          <w:rFonts w:hint="default" w:ascii="Times New Roman" w:hAnsi="Times New Roman" w:eastAsia="仿宋_GB2312" w:cs="Times New Roman"/>
          <w:bCs/>
          <w:sz w:val="32"/>
          <w:szCs w:val="32"/>
          <w:lang w:val="en-US" w:eastAsia="zh-CN"/>
        </w:rPr>
      </w:pPr>
      <w:r>
        <w:rPr>
          <w:rFonts w:hint="default" w:ascii="Times New Roman" w:hAnsi="Times New Roman" w:eastAsia="仿宋_GB2312" w:cs="Times New Roman"/>
          <w:b/>
          <w:bCs w:val="0"/>
          <w:sz w:val="32"/>
          <w:szCs w:val="32"/>
        </w:rPr>
        <w:t>合营方一：弘云久康。</w:t>
      </w:r>
      <w:r>
        <w:rPr>
          <w:rFonts w:hint="default" w:ascii="Times New Roman" w:hAnsi="Times New Roman" w:eastAsia="仿宋_GB2312" w:cs="Times New Roman"/>
          <w:bCs/>
          <w:sz w:val="32"/>
          <w:szCs w:val="32"/>
        </w:rPr>
        <w:t>2015年于北京注册成立，主要从事互联网信息服务业务，是阿里健康信息技术有限公司（Alibaba Health Information Tech</w:t>
      </w:r>
      <w:r>
        <w:rPr>
          <w:rFonts w:hint="default" w:ascii="Times New Roman" w:hAnsi="Times New Roman" w:eastAsia="仿宋_GB2312" w:cs="Times New Roman"/>
          <w:sz w:val="32"/>
          <w:szCs w:val="32"/>
        </w:rPr>
        <w:t>nology Limited</w:t>
      </w:r>
      <w:r>
        <w:rPr>
          <w:rFonts w:hint="default" w:ascii="Times New Roman" w:hAnsi="Times New Roman" w:eastAsia="仿宋_GB2312" w:cs="Times New Roman"/>
          <w:sz w:val="32"/>
          <w:szCs w:val="32"/>
          <w:lang w:eastAsia="zh-CN"/>
        </w:rPr>
        <w:t>，以</w:t>
      </w:r>
      <w:r>
        <w:rPr>
          <w:rFonts w:hint="default" w:ascii="Times New Roman" w:hAnsi="Times New Roman" w:eastAsia="仿宋_GB2312" w:cs="Times New Roman"/>
          <w:sz w:val="32"/>
          <w:szCs w:val="32"/>
        </w:rPr>
        <w:t>下</w:t>
      </w:r>
      <w:r>
        <w:rPr>
          <w:rFonts w:hint="default" w:ascii="Times New Roman" w:hAnsi="Times New Roman" w:eastAsia="仿宋_GB2312" w:cs="Times New Roman"/>
          <w:sz w:val="32"/>
          <w:szCs w:val="32"/>
          <w:lang w:eastAsia="zh-CN"/>
        </w:rPr>
        <w:t>简</w:t>
      </w:r>
      <w:r>
        <w:rPr>
          <w:rFonts w:hint="default" w:ascii="Times New Roman" w:hAnsi="Times New Roman" w:eastAsia="仿宋_GB2312" w:cs="Times New Roman"/>
          <w:sz w:val="32"/>
          <w:szCs w:val="32"/>
        </w:rPr>
        <w:t>称</w:t>
      </w:r>
      <w:r>
        <w:rPr>
          <w:rFonts w:hint="default" w:ascii="Times New Roman" w:hAnsi="Times New Roman" w:eastAsia="仿宋_GB2312" w:cs="Times New Roman"/>
          <w:b w:val="0"/>
          <w:bCs/>
          <w:sz w:val="32"/>
          <w:szCs w:val="32"/>
        </w:rPr>
        <w:t>阿里健康</w:t>
      </w:r>
      <w:r>
        <w:rPr>
          <w:rFonts w:hint="default" w:ascii="Times New Roman" w:hAnsi="Times New Roman" w:eastAsia="仿宋_GB2312" w:cs="Times New Roman"/>
          <w:sz w:val="32"/>
          <w:szCs w:val="32"/>
        </w:rPr>
        <w:t>）的</w:t>
      </w:r>
      <w:r>
        <w:rPr>
          <w:rFonts w:hint="default" w:ascii="Times New Roman" w:hAnsi="Times New Roman" w:eastAsia="仿宋_GB2312" w:cs="Times New Roman"/>
          <w:sz w:val="32"/>
          <w:szCs w:val="32"/>
          <w:lang w:eastAsia="zh-CN"/>
        </w:rPr>
        <w:t>全资子公司</w:t>
      </w:r>
      <w:r>
        <w:rPr>
          <w:rFonts w:hint="default" w:ascii="Times New Roman" w:hAnsi="Times New Roman" w:eastAsia="仿宋_GB2312" w:cs="Times New Roman"/>
          <w:sz w:val="32"/>
          <w:szCs w:val="32"/>
        </w:rPr>
        <w:t>，阿里健康</w:t>
      </w:r>
      <w:r>
        <w:rPr>
          <w:rFonts w:hint="default" w:ascii="Times New Roman" w:hAnsi="Times New Roman" w:eastAsia="仿宋_GB2312" w:cs="Times New Roman"/>
          <w:sz w:val="32"/>
          <w:szCs w:val="32"/>
          <w:lang w:eastAsia="zh-CN"/>
        </w:rPr>
        <w:t>的</w:t>
      </w:r>
      <w:r>
        <w:rPr>
          <w:rFonts w:hint="default" w:ascii="Times New Roman" w:hAnsi="Times New Roman" w:eastAsia="仿宋_GB2312" w:cs="Times New Roman"/>
          <w:sz w:val="32"/>
          <w:szCs w:val="32"/>
        </w:rPr>
        <w:t>最终控股股东为阿里巴巴集团控股有限公司(Alibaba Group Holding Limited</w:t>
      </w:r>
      <w:r>
        <w:rPr>
          <w:rFonts w:hint="default" w:ascii="Times New Roman" w:hAnsi="Times New Roman" w:eastAsia="仿宋_GB2312" w:cs="Times New Roman"/>
          <w:sz w:val="32"/>
          <w:szCs w:val="32"/>
          <w:lang w:eastAsia="zh-CN"/>
        </w:rPr>
        <w:t>，以</w:t>
      </w:r>
      <w:r>
        <w:rPr>
          <w:rFonts w:hint="default" w:ascii="Times New Roman" w:hAnsi="Times New Roman" w:eastAsia="仿宋_GB2312" w:cs="Times New Roman"/>
          <w:sz w:val="32"/>
          <w:szCs w:val="32"/>
        </w:rPr>
        <w:t>下</w:t>
      </w:r>
      <w:r>
        <w:rPr>
          <w:rFonts w:hint="default" w:ascii="Times New Roman" w:hAnsi="Times New Roman" w:eastAsia="仿宋_GB2312" w:cs="Times New Roman"/>
          <w:sz w:val="32"/>
          <w:szCs w:val="32"/>
          <w:lang w:eastAsia="zh-CN"/>
        </w:rPr>
        <w:t>简</w:t>
      </w:r>
      <w:r>
        <w:rPr>
          <w:rFonts w:hint="default" w:ascii="Times New Roman" w:hAnsi="Times New Roman" w:eastAsia="仿宋_GB2312" w:cs="Times New Roman"/>
          <w:sz w:val="32"/>
          <w:szCs w:val="32"/>
        </w:rPr>
        <w:t>称</w:t>
      </w:r>
      <w:r>
        <w:rPr>
          <w:rFonts w:hint="default" w:ascii="Times New Roman" w:hAnsi="Times New Roman" w:eastAsia="仿宋_GB2312" w:cs="Times New Roman"/>
          <w:b w:val="0"/>
          <w:bCs/>
          <w:sz w:val="32"/>
          <w:szCs w:val="32"/>
        </w:rPr>
        <w:t>阿里</w:t>
      </w:r>
      <w:r>
        <w:rPr>
          <w:rFonts w:hint="default" w:ascii="Times New Roman" w:hAnsi="Times New Roman" w:eastAsia="仿宋_GB2312" w:cs="Times New Roman"/>
          <w:b w:val="0"/>
          <w:bCs/>
          <w:sz w:val="32"/>
          <w:szCs w:val="32"/>
          <w:lang w:eastAsia="zh-CN"/>
        </w:rPr>
        <w:t>巴巴集团</w:t>
      </w:r>
      <w:r>
        <w:rPr>
          <w:rFonts w:hint="default" w:ascii="Times New Roman" w:hAnsi="Times New Roman" w:eastAsia="仿宋_GB2312" w:cs="Times New Roman"/>
          <w:sz w:val="32"/>
          <w:szCs w:val="32"/>
        </w:rPr>
        <w:t>）</w:t>
      </w:r>
      <w:r>
        <w:rPr>
          <w:rFonts w:hint="default" w:ascii="Times New Roman" w:hAnsi="Times New Roman" w:eastAsia="仿宋_GB2312" w:cs="Times New Roman"/>
          <w:bCs/>
          <w:sz w:val="32"/>
          <w:szCs w:val="32"/>
        </w:rPr>
        <w:t>。201</w:t>
      </w:r>
      <w:r>
        <w:rPr>
          <w:rFonts w:hint="eastAsia" w:ascii="Times New Roman" w:hAnsi="Times New Roman" w:eastAsia="仿宋_GB2312" w:cs="Times New Roman"/>
          <w:bCs/>
          <w:sz w:val="32"/>
          <w:szCs w:val="32"/>
          <w:lang w:val="en-US" w:eastAsia="zh-CN"/>
        </w:rPr>
        <w:t>7年</w:t>
      </w:r>
      <w:r>
        <w:rPr>
          <w:rFonts w:hint="default" w:ascii="Times New Roman" w:hAnsi="Times New Roman" w:eastAsia="仿宋_GB2312" w:cs="Times New Roman"/>
          <w:bCs/>
          <w:sz w:val="32"/>
          <w:szCs w:val="32"/>
          <w:lang w:eastAsia="zh-CN"/>
        </w:rPr>
        <w:t>全球</w:t>
      </w:r>
      <w:r>
        <w:rPr>
          <w:rFonts w:hint="default" w:ascii="Times New Roman" w:hAnsi="Times New Roman" w:eastAsia="仿宋_GB2312" w:cs="Times New Roman"/>
          <w:bCs/>
          <w:sz w:val="32"/>
          <w:szCs w:val="32"/>
        </w:rPr>
        <w:t>营业额为</w:t>
      </w:r>
      <w:r>
        <w:rPr>
          <w:rFonts w:hint="eastAsia" w:eastAsia="仿宋_GB2312" w:cs="Times New Roman"/>
          <w:bCs/>
          <w:sz w:val="32"/>
          <w:szCs w:val="32"/>
          <w:lang w:eastAsia="zh-CN"/>
        </w:rPr>
        <w:t>（略）</w:t>
      </w:r>
      <w:r>
        <w:rPr>
          <w:rFonts w:hint="default" w:ascii="Times New Roman" w:hAnsi="Times New Roman" w:eastAsia="仿宋_GB2312" w:cs="Times New Roman"/>
          <w:bCs/>
          <w:sz w:val="32"/>
          <w:szCs w:val="32"/>
          <w:lang w:eastAsia="zh-CN"/>
        </w:rPr>
        <w:t>（币种下同），中国境内营业额为</w:t>
      </w:r>
      <w:r>
        <w:rPr>
          <w:rFonts w:hint="eastAsia" w:eastAsia="仿宋_GB2312" w:cs="Times New Roman"/>
          <w:bCs/>
          <w:sz w:val="32"/>
          <w:szCs w:val="32"/>
          <w:lang w:eastAsia="zh-CN"/>
        </w:rPr>
        <w:t>（略）</w:t>
      </w:r>
      <w:r>
        <w:rPr>
          <w:rFonts w:hint="default" w:ascii="Times New Roman" w:hAnsi="Times New Roman" w:eastAsia="仿宋_GB2312" w:cs="Times New Roman"/>
          <w:bCs/>
          <w:sz w:val="32"/>
          <w:szCs w:val="32"/>
        </w:rPr>
        <w:t>。</w:t>
      </w:r>
      <w:r>
        <w:rPr>
          <w:rFonts w:hint="default" w:ascii="Times New Roman" w:hAnsi="Times New Roman" w:eastAsia="仿宋_GB2312" w:cs="Times New Roman"/>
          <w:bCs/>
          <w:sz w:val="32"/>
          <w:szCs w:val="32"/>
          <w:lang w:val="en-US" w:eastAsia="zh-CN"/>
        </w:rPr>
        <w:t xml:space="preserve"> </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仿宋_GB2312" w:cs="Times New Roman"/>
          <w:bCs/>
          <w:sz w:val="32"/>
          <w:szCs w:val="32"/>
          <w:lang w:eastAsia="zh-CN"/>
        </w:rPr>
      </w:pPr>
      <w:r>
        <w:rPr>
          <w:rFonts w:hint="default" w:ascii="Times New Roman" w:hAnsi="Times New Roman" w:eastAsia="仿宋_GB2312" w:cs="Times New Roman"/>
          <w:b/>
          <w:bCs w:val="0"/>
          <w:sz w:val="32"/>
          <w:szCs w:val="32"/>
        </w:rPr>
        <w:t>合营方</w:t>
      </w:r>
      <w:r>
        <w:rPr>
          <w:rFonts w:hint="default" w:ascii="Times New Roman" w:hAnsi="Times New Roman" w:eastAsia="仿宋_GB2312" w:cs="Times New Roman"/>
          <w:b/>
          <w:bCs w:val="0"/>
          <w:sz w:val="32"/>
          <w:szCs w:val="32"/>
          <w:lang w:eastAsia="zh-CN"/>
        </w:rPr>
        <w:t>二</w:t>
      </w:r>
      <w:r>
        <w:rPr>
          <w:rFonts w:hint="default" w:ascii="Times New Roman" w:hAnsi="Times New Roman" w:eastAsia="仿宋_GB2312" w:cs="Times New Roman"/>
          <w:b/>
          <w:bCs w:val="0"/>
          <w:sz w:val="32"/>
          <w:szCs w:val="32"/>
        </w:rPr>
        <w:t>：上海云鑫。</w:t>
      </w:r>
      <w:r>
        <w:rPr>
          <w:rFonts w:hint="default" w:ascii="Times New Roman" w:hAnsi="Times New Roman" w:eastAsia="仿宋_GB2312" w:cs="Times New Roman"/>
          <w:bCs/>
          <w:sz w:val="32"/>
          <w:szCs w:val="32"/>
        </w:rPr>
        <w:t>2014年于上海注册成立，</w:t>
      </w:r>
      <w:r>
        <w:rPr>
          <w:rFonts w:hint="default" w:ascii="Times New Roman" w:hAnsi="Times New Roman" w:eastAsia="仿宋_GB2312" w:cs="Times New Roman"/>
          <w:bCs/>
          <w:sz w:val="32"/>
          <w:szCs w:val="32"/>
          <w:lang w:eastAsia="zh-CN"/>
        </w:rPr>
        <w:t>主要从事创业投资业务，是</w:t>
      </w:r>
      <w:r>
        <w:rPr>
          <w:rFonts w:hint="default" w:ascii="Times New Roman" w:hAnsi="Times New Roman" w:eastAsia="仿宋_GB2312" w:cs="Times New Roman"/>
          <w:bCs/>
          <w:sz w:val="32"/>
          <w:szCs w:val="32"/>
        </w:rPr>
        <w:t>蚂蚁科技集团股份有限公司（</w:t>
      </w:r>
      <w:r>
        <w:rPr>
          <w:rFonts w:hint="default" w:ascii="Times New Roman" w:hAnsi="Times New Roman" w:eastAsia="仿宋_GB2312" w:cs="Times New Roman"/>
          <w:sz w:val="32"/>
          <w:szCs w:val="32"/>
          <w:lang w:eastAsia="zh-CN"/>
        </w:rPr>
        <w:t>以</w:t>
      </w:r>
      <w:r>
        <w:rPr>
          <w:rFonts w:hint="default" w:ascii="Times New Roman" w:hAnsi="Times New Roman" w:eastAsia="仿宋_GB2312" w:cs="Times New Roman"/>
          <w:sz w:val="32"/>
          <w:szCs w:val="32"/>
        </w:rPr>
        <w:t>下</w:t>
      </w:r>
      <w:r>
        <w:rPr>
          <w:rFonts w:hint="default" w:ascii="Times New Roman" w:hAnsi="Times New Roman" w:eastAsia="仿宋_GB2312" w:cs="Times New Roman"/>
          <w:sz w:val="32"/>
          <w:szCs w:val="32"/>
          <w:lang w:eastAsia="zh-CN"/>
        </w:rPr>
        <w:t>简</w:t>
      </w:r>
      <w:r>
        <w:rPr>
          <w:rFonts w:hint="default" w:ascii="Times New Roman" w:hAnsi="Times New Roman" w:eastAsia="仿宋_GB2312" w:cs="Times New Roman"/>
          <w:sz w:val="32"/>
          <w:szCs w:val="32"/>
        </w:rPr>
        <w:t>称</w:t>
      </w:r>
      <w:r>
        <w:rPr>
          <w:rFonts w:hint="default" w:ascii="Times New Roman" w:hAnsi="Times New Roman" w:eastAsia="仿宋_GB2312" w:cs="Times New Roman"/>
          <w:b w:val="0"/>
          <w:bCs w:val="0"/>
          <w:sz w:val="32"/>
          <w:szCs w:val="32"/>
        </w:rPr>
        <w:t>蚂蚁集团</w:t>
      </w:r>
      <w:r>
        <w:rPr>
          <w:rFonts w:hint="default" w:ascii="Times New Roman" w:hAnsi="Times New Roman" w:eastAsia="仿宋_GB2312" w:cs="Times New Roman"/>
          <w:bCs/>
          <w:sz w:val="32"/>
          <w:szCs w:val="32"/>
        </w:rPr>
        <w:t>）</w:t>
      </w:r>
      <w:r>
        <w:rPr>
          <w:rFonts w:hint="default" w:ascii="Times New Roman" w:hAnsi="Times New Roman" w:eastAsia="仿宋_GB2312" w:cs="Times New Roman"/>
          <w:bCs/>
          <w:sz w:val="32"/>
          <w:szCs w:val="32"/>
          <w:lang w:eastAsia="zh-CN"/>
        </w:rPr>
        <w:t>的全资子公司</w:t>
      </w:r>
      <w:r>
        <w:rPr>
          <w:rFonts w:hint="default" w:ascii="Times New Roman" w:hAnsi="Times New Roman" w:eastAsia="仿宋_GB2312" w:cs="Times New Roman"/>
          <w:bCs/>
          <w:sz w:val="32"/>
          <w:szCs w:val="32"/>
        </w:rPr>
        <w:t>，最终控制人是</w:t>
      </w:r>
      <w:r>
        <w:rPr>
          <w:rFonts w:hint="eastAsia" w:eastAsia="仿宋_GB2312" w:cs="Times New Roman"/>
          <w:bCs/>
          <w:sz w:val="32"/>
          <w:szCs w:val="32"/>
          <w:lang w:eastAsia="zh-CN"/>
        </w:rPr>
        <w:t>（略）</w:t>
      </w:r>
      <w:r>
        <w:rPr>
          <w:rFonts w:hint="default" w:ascii="Times New Roman" w:hAnsi="Times New Roman" w:eastAsia="仿宋_GB2312" w:cs="Times New Roman"/>
          <w:bCs/>
          <w:sz w:val="32"/>
          <w:szCs w:val="32"/>
        </w:rPr>
        <w:t>。2017年全球营业</w:t>
      </w:r>
      <w:r>
        <w:rPr>
          <w:rFonts w:hint="default" w:ascii="Times New Roman" w:hAnsi="Times New Roman" w:eastAsia="仿宋_GB2312" w:cs="Times New Roman"/>
          <w:bCs/>
          <w:sz w:val="32"/>
          <w:szCs w:val="32"/>
          <w:lang w:eastAsia="zh-CN"/>
        </w:rPr>
        <w:t>额</w:t>
      </w:r>
      <w:r>
        <w:rPr>
          <w:rFonts w:hint="default" w:ascii="Times New Roman" w:hAnsi="Times New Roman" w:eastAsia="仿宋_GB2312" w:cs="Times New Roman"/>
          <w:bCs/>
          <w:sz w:val="32"/>
          <w:szCs w:val="32"/>
        </w:rPr>
        <w:t>为</w:t>
      </w:r>
      <w:r>
        <w:rPr>
          <w:rFonts w:hint="eastAsia" w:eastAsia="仿宋_GB2312" w:cs="Times New Roman"/>
          <w:bCs/>
          <w:sz w:val="32"/>
          <w:szCs w:val="32"/>
          <w:lang w:eastAsia="zh-CN"/>
        </w:rPr>
        <w:t>（略）</w:t>
      </w:r>
      <w:r>
        <w:rPr>
          <w:rFonts w:hint="default" w:ascii="Times New Roman" w:hAnsi="Times New Roman" w:eastAsia="仿宋_GB2312" w:cs="Times New Roman"/>
          <w:bCs/>
          <w:sz w:val="32"/>
          <w:szCs w:val="32"/>
          <w:lang w:eastAsia="zh-CN"/>
        </w:rPr>
        <w:t>，</w:t>
      </w:r>
      <w:r>
        <w:rPr>
          <w:rFonts w:hint="default" w:ascii="Times New Roman" w:hAnsi="Times New Roman" w:eastAsia="仿宋_GB2312" w:cs="Times New Roman"/>
          <w:bCs/>
          <w:sz w:val="32"/>
          <w:szCs w:val="32"/>
        </w:rPr>
        <w:t>中国</w:t>
      </w:r>
      <w:r>
        <w:rPr>
          <w:rFonts w:hint="default" w:ascii="Times New Roman" w:hAnsi="Times New Roman" w:eastAsia="仿宋_GB2312" w:cs="Times New Roman"/>
          <w:bCs/>
          <w:sz w:val="32"/>
          <w:szCs w:val="32"/>
          <w:lang w:eastAsia="zh-CN"/>
        </w:rPr>
        <w:t>境内</w:t>
      </w:r>
      <w:r>
        <w:rPr>
          <w:rFonts w:hint="default" w:ascii="Times New Roman" w:hAnsi="Times New Roman" w:eastAsia="仿宋_GB2312" w:cs="Times New Roman"/>
          <w:bCs/>
          <w:sz w:val="32"/>
          <w:szCs w:val="32"/>
        </w:rPr>
        <w:t>营业额为</w:t>
      </w:r>
      <w:r>
        <w:rPr>
          <w:rFonts w:hint="eastAsia" w:eastAsia="仿宋_GB2312" w:cs="Times New Roman"/>
          <w:bCs/>
          <w:sz w:val="32"/>
          <w:szCs w:val="32"/>
          <w:lang w:eastAsia="zh-CN"/>
        </w:rPr>
        <w:t>（略）</w:t>
      </w:r>
      <w:r>
        <w:rPr>
          <w:rFonts w:hint="default" w:ascii="Times New Roman" w:hAnsi="Times New Roman" w:eastAsia="仿宋_GB2312" w:cs="Times New Roman"/>
          <w:bCs/>
          <w:sz w:val="32"/>
          <w:szCs w:val="32"/>
          <w:lang w:eastAsia="zh-CN"/>
        </w:rPr>
        <w:t>。</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楷体_GB2312" w:cs="Times New Roman"/>
          <w:b w:val="0"/>
          <w:bCs w:val="0"/>
          <w:kern w:val="2"/>
          <w:sz w:val="32"/>
          <w:szCs w:val="32"/>
        </w:rPr>
      </w:pPr>
      <w:r>
        <w:rPr>
          <w:rFonts w:hint="default" w:ascii="Times New Roman" w:hAnsi="Times New Roman" w:eastAsia="楷体_GB2312" w:cs="Times New Roman"/>
          <w:b w:val="0"/>
          <w:bCs w:val="0"/>
          <w:kern w:val="2"/>
          <w:sz w:val="32"/>
          <w:szCs w:val="32"/>
        </w:rPr>
        <w:t>（二）交易概况。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本交易系设立合营企业。</w:t>
      </w:r>
      <w:r>
        <w:rPr>
          <w:rFonts w:hint="default" w:ascii="Times New Roman" w:hAnsi="Times New Roman" w:eastAsia="仿宋_GB2312" w:cs="Times New Roman"/>
          <w:sz w:val="32"/>
          <w:szCs w:val="32"/>
        </w:rPr>
        <w:t>2017年12月，弘云久康</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上海云鑫和杭州云庭数据科技有限公司（</w:t>
      </w:r>
      <w:r>
        <w:rPr>
          <w:rFonts w:hint="default" w:ascii="Times New Roman" w:hAnsi="Times New Roman" w:eastAsia="仿宋_GB2312" w:cs="Times New Roman"/>
          <w:sz w:val="32"/>
          <w:szCs w:val="32"/>
          <w:lang w:eastAsia="zh-CN"/>
        </w:rPr>
        <w:t>以</w:t>
      </w:r>
      <w:r>
        <w:rPr>
          <w:rFonts w:hint="default" w:ascii="Times New Roman" w:hAnsi="Times New Roman" w:eastAsia="仿宋_GB2312" w:cs="Times New Roman"/>
          <w:sz w:val="32"/>
          <w:szCs w:val="32"/>
        </w:rPr>
        <w:t>下</w:t>
      </w:r>
      <w:r>
        <w:rPr>
          <w:rFonts w:hint="default" w:ascii="Times New Roman" w:hAnsi="Times New Roman" w:eastAsia="仿宋_GB2312" w:cs="Times New Roman"/>
          <w:sz w:val="32"/>
          <w:szCs w:val="32"/>
          <w:lang w:eastAsia="zh-CN"/>
        </w:rPr>
        <w:t>简</w:t>
      </w:r>
      <w:r>
        <w:rPr>
          <w:rFonts w:hint="default" w:ascii="Times New Roman" w:hAnsi="Times New Roman" w:eastAsia="仿宋_GB2312" w:cs="Times New Roman"/>
          <w:sz w:val="32"/>
          <w:szCs w:val="32"/>
        </w:rPr>
        <w:t>称杭州云庭）</w:t>
      </w:r>
      <w:r>
        <w:rPr>
          <w:rFonts w:hint="default" w:ascii="Times New Roman" w:hAnsi="Times New Roman" w:eastAsia="仿宋_GB2312" w:cs="Times New Roman"/>
          <w:sz w:val="32"/>
          <w:szCs w:val="32"/>
          <w:lang w:eastAsia="zh-CN"/>
        </w:rPr>
        <w:t>三方达成协议，</w:t>
      </w:r>
      <w:r>
        <w:rPr>
          <w:rFonts w:hint="default" w:ascii="Times New Roman" w:hAnsi="Times New Roman" w:eastAsia="仿宋_GB2312" w:cs="Times New Roman"/>
          <w:color w:val="auto"/>
          <w:sz w:val="32"/>
          <w:szCs w:val="32"/>
          <w:lang w:eastAsia="zh-CN"/>
        </w:rPr>
        <w:t>拟</w:t>
      </w:r>
      <w:r>
        <w:rPr>
          <w:rFonts w:hint="default" w:ascii="Times New Roman" w:hAnsi="Times New Roman" w:eastAsia="仿宋_GB2312" w:cs="Times New Roman"/>
          <w:color w:val="auto"/>
          <w:sz w:val="32"/>
          <w:szCs w:val="32"/>
        </w:rPr>
        <w:t>设立</w:t>
      </w:r>
      <w:r>
        <w:rPr>
          <w:rFonts w:hint="default" w:ascii="Times New Roman" w:hAnsi="Times New Roman" w:eastAsia="仿宋_GB2312" w:cs="Times New Roman"/>
          <w:color w:val="auto"/>
          <w:sz w:val="32"/>
          <w:szCs w:val="32"/>
          <w:lang w:eastAsia="zh-CN"/>
        </w:rPr>
        <w:t>合营公司</w:t>
      </w:r>
      <w:r>
        <w:rPr>
          <w:rFonts w:hint="default" w:ascii="Times New Roman" w:hAnsi="Times New Roman" w:eastAsia="仿宋_GB2312" w:cs="Times New Roman"/>
          <w:color w:val="auto"/>
          <w:sz w:val="32"/>
          <w:szCs w:val="32"/>
        </w:rPr>
        <w:t>从事医疗大数据业务。</w:t>
      </w:r>
      <w:r>
        <w:rPr>
          <w:rFonts w:hint="default" w:ascii="Times New Roman" w:hAnsi="Times New Roman" w:eastAsia="仿宋_GB2312" w:cs="Times New Roman"/>
          <w:sz w:val="32"/>
          <w:szCs w:val="32"/>
        </w:rPr>
        <w:t>2018年3月30日，弘云久康于杭州设立</w:t>
      </w:r>
      <w:r>
        <w:rPr>
          <w:rFonts w:hint="default" w:ascii="Times New Roman" w:hAnsi="Times New Roman" w:eastAsia="仿宋_GB2312" w:cs="Times New Roman"/>
          <w:b w:val="0"/>
          <w:bCs/>
          <w:sz w:val="32"/>
          <w:szCs w:val="32"/>
        </w:rPr>
        <w:t>浙江扁鹊</w:t>
      </w:r>
      <w:r>
        <w:rPr>
          <w:rFonts w:hint="default" w:ascii="Times New Roman" w:hAnsi="Times New Roman" w:eastAsia="仿宋_GB2312" w:cs="Times New Roman"/>
          <w:sz w:val="32"/>
          <w:szCs w:val="32"/>
        </w:rPr>
        <w:t>，并取得营业执照。2018年6月1日，弘云久康、浙江扁鹊</w:t>
      </w:r>
      <w:r>
        <w:rPr>
          <w:rFonts w:hint="default" w:ascii="Times New Roman" w:hAnsi="Times New Roman" w:eastAsia="仿宋_GB2312" w:cs="Times New Roman"/>
          <w:sz w:val="32"/>
          <w:szCs w:val="32"/>
          <w:lang w:eastAsia="zh-CN"/>
        </w:rPr>
        <w:t>与</w:t>
      </w:r>
      <w:r>
        <w:rPr>
          <w:rFonts w:hint="default" w:ascii="Times New Roman" w:hAnsi="Times New Roman" w:eastAsia="仿宋_GB2312" w:cs="Times New Roman"/>
          <w:sz w:val="32"/>
          <w:szCs w:val="32"/>
        </w:rPr>
        <w:t>上海云鑫、杭州云庭签署《增资协议》</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弘云久康</w:t>
      </w:r>
      <w:r>
        <w:rPr>
          <w:rFonts w:hint="default" w:ascii="Times New Roman" w:hAnsi="Times New Roman" w:eastAsia="仿宋_GB2312" w:cs="Times New Roman"/>
          <w:sz w:val="32"/>
          <w:szCs w:val="32"/>
          <w:lang w:eastAsia="zh-CN"/>
        </w:rPr>
        <w:t>出资</w:t>
      </w:r>
      <w:r>
        <w:rPr>
          <w:rFonts w:hint="default" w:ascii="Times New Roman" w:hAnsi="Times New Roman" w:eastAsia="仿宋_GB2312" w:cs="Times New Roman"/>
          <w:sz w:val="32"/>
          <w:szCs w:val="32"/>
          <w:lang w:val="en-US" w:eastAsia="zh-CN"/>
        </w:rPr>
        <w:t>4500万元，</w:t>
      </w:r>
      <w:r>
        <w:rPr>
          <w:rFonts w:hint="default" w:ascii="Times New Roman" w:hAnsi="Times New Roman" w:eastAsia="仿宋_GB2312" w:cs="Times New Roman"/>
          <w:sz w:val="32"/>
          <w:szCs w:val="32"/>
        </w:rPr>
        <w:t>持</w:t>
      </w:r>
      <w:r>
        <w:rPr>
          <w:rFonts w:hint="default" w:ascii="Times New Roman" w:hAnsi="Times New Roman" w:eastAsia="仿宋_GB2312" w:cs="Times New Roman"/>
          <w:sz w:val="32"/>
          <w:szCs w:val="32"/>
          <w:lang w:eastAsia="zh-CN"/>
        </w:rPr>
        <w:t>有</w:t>
      </w:r>
      <w:r>
        <w:rPr>
          <w:rFonts w:hint="default" w:ascii="Times New Roman" w:hAnsi="Times New Roman" w:eastAsia="仿宋_GB2312" w:cs="Times New Roman"/>
          <w:sz w:val="32"/>
          <w:szCs w:val="32"/>
        </w:rPr>
        <w:t>浙江扁鹊45%</w:t>
      </w:r>
      <w:r>
        <w:rPr>
          <w:rFonts w:hint="default" w:ascii="Times New Roman" w:hAnsi="Times New Roman" w:eastAsia="仿宋_GB2312" w:cs="Times New Roman"/>
          <w:sz w:val="32"/>
          <w:szCs w:val="32"/>
          <w:lang w:eastAsia="zh-CN"/>
        </w:rPr>
        <w:t>股权；</w:t>
      </w:r>
      <w:r>
        <w:rPr>
          <w:rFonts w:hint="default" w:ascii="Times New Roman" w:hAnsi="Times New Roman" w:eastAsia="仿宋_GB2312" w:cs="Times New Roman"/>
          <w:sz w:val="32"/>
          <w:szCs w:val="32"/>
        </w:rPr>
        <w:t>上海云鑫</w:t>
      </w:r>
      <w:r>
        <w:rPr>
          <w:rFonts w:hint="default" w:ascii="Times New Roman" w:hAnsi="Times New Roman" w:eastAsia="仿宋_GB2312" w:cs="Times New Roman"/>
          <w:sz w:val="32"/>
          <w:szCs w:val="32"/>
          <w:lang w:eastAsia="zh-CN"/>
        </w:rPr>
        <w:t>出资</w:t>
      </w:r>
      <w:r>
        <w:rPr>
          <w:rFonts w:hint="default" w:ascii="Times New Roman" w:hAnsi="Times New Roman" w:eastAsia="仿宋_GB2312" w:cs="Times New Roman"/>
          <w:sz w:val="32"/>
          <w:szCs w:val="32"/>
          <w:lang w:val="en-US" w:eastAsia="zh-CN"/>
        </w:rPr>
        <w:t>4000万元，</w:t>
      </w:r>
      <w:r>
        <w:rPr>
          <w:rFonts w:hint="default" w:ascii="Times New Roman" w:hAnsi="Times New Roman" w:eastAsia="仿宋_GB2312" w:cs="Times New Roman"/>
          <w:sz w:val="32"/>
          <w:szCs w:val="32"/>
        </w:rPr>
        <w:t>持</w:t>
      </w:r>
      <w:r>
        <w:rPr>
          <w:rFonts w:hint="default" w:ascii="Times New Roman" w:hAnsi="Times New Roman" w:eastAsia="仿宋_GB2312" w:cs="Times New Roman"/>
          <w:sz w:val="32"/>
          <w:szCs w:val="32"/>
          <w:lang w:eastAsia="zh-CN"/>
        </w:rPr>
        <w:t>有</w:t>
      </w:r>
      <w:r>
        <w:rPr>
          <w:rFonts w:hint="default" w:ascii="Times New Roman" w:hAnsi="Times New Roman" w:eastAsia="仿宋_GB2312" w:cs="Times New Roman"/>
          <w:sz w:val="32"/>
          <w:szCs w:val="32"/>
        </w:rPr>
        <w:t>浙江扁鹊40%股</w:t>
      </w:r>
      <w:r>
        <w:rPr>
          <w:rFonts w:hint="default" w:ascii="Times New Roman" w:hAnsi="Times New Roman" w:eastAsia="仿宋_GB2312" w:cs="Times New Roman"/>
          <w:sz w:val="32"/>
          <w:szCs w:val="32"/>
          <w:lang w:eastAsia="zh-CN"/>
        </w:rPr>
        <w:t>权；</w:t>
      </w:r>
      <w:r>
        <w:rPr>
          <w:rFonts w:hint="default" w:ascii="Times New Roman" w:hAnsi="Times New Roman" w:eastAsia="仿宋_GB2312" w:cs="Times New Roman"/>
          <w:sz w:val="32"/>
          <w:szCs w:val="32"/>
        </w:rPr>
        <w:t>杭州云庭</w:t>
      </w:r>
      <w:r>
        <w:rPr>
          <w:rFonts w:hint="default" w:ascii="Times New Roman" w:hAnsi="Times New Roman" w:eastAsia="仿宋_GB2312" w:cs="Times New Roman"/>
          <w:sz w:val="32"/>
          <w:szCs w:val="32"/>
          <w:lang w:eastAsia="zh-CN"/>
        </w:rPr>
        <w:t>出资</w:t>
      </w:r>
      <w:r>
        <w:rPr>
          <w:rFonts w:hint="default" w:ascii="Times New Roman" w:hAnsi="Times New Roman" w:eastAsia="仿宋_GB2312" w:cs="Times New Roman"/>
          <w:sz w:val="32"/>
          <w:szCs w:val="32"/>
          <w:lang w:val="en-US" w:eastAsia="zh-CN"/>
        </w:rPr>
        <w:t>1500万元，</w:t>
      </w:r>
      <w:r>
        <w:rPr>
          <w:rFonts w:hint="default" w:ascii="Times New Roman" w:hAnsi="Times New Roman" w:eastAsia="仿宋_GB2312" w:cs="Times New Roman"/>
          <w:sz w:val="32"/>
          <w:szCs w:val="32"/>
        </w:rPr>
        <w:t>持</w:t>
      </w:r>
      <w:r>
        <w:rPr>
          <w:rFonts w:hint="default" w:ascii="Times New Roman" w:hAnsi="Times New Roman" w:eastAsia="仿宋_GB2312" w:cs="Times New Roman"/>
          <w:sz w:val="32"/>
          <w:szCs w:val="32"/>
          <w:lang w:eastAsia="zh-CN"/>
        </w:rPr>
        <w:t>有浙江扁鹊</w:t>
      </w:r>
      <w:r>
        <w:rPr>
          <w:rFonts w:hint="default" w:ascii="Times New Roman" w:hAnsi="Times New Roman" w:eastAsia="仿宋_GB2312" w:cs="Times New Roman"/>
          <w:sz w:val="32"/>
          <w:szCs w:val="32"/>
        </w:rPr>
        <w:t>15%</w:t>
      </w:r>
      <w:r>
        <w:rPr>
          <w:rFonts w:hint="default" w:ascii="Times New Roman" w:hAnsi="Times New Roman" w:eastAsia="仿宋_GB2312" w:cs="Times New Roman"/>
          <w:sz w:val="32"/>
          <w:szCs w:val="32"/>
          <w:lang w:eastAsia="zh-CN"/>
        </w:rPr>
        <w:t>股权。</w:t>
      </w:r>
      <w:r>
        <w:rPr>
          <w:rFonts w:hint="default" w:ascii="Times New Roman" w:hAnsi="Times New Roman" w:eastAsia="仿宋_GB2312" w:cs="Times New Roman"/>
          <w:sz w:val="32"/>
          <w:szCs w:val="32"/>
        </w:rPr>
        <w:t>2018年7月19日，浙江扁鹊完成股权变更登记手续。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outlineLvl w:val="9"/>
        <w:rPr>
          <w:rFonts w:hint="default" w:ascii="Times New Roman" w:hAnsi="Times New Roman" w:eastAsia="仿宋_GB2312" w:cs="Times New Roman"/>
          <w:bCs/>
          <w:sz w:val="32"/>
          <w:szCs w:val="32"/>
          <w:lang w:val="en-US" w:eastAsia="zh-CN"/>
        </w:rPr>
      </w:pPr>
      <w:r>
        <w:rPr>
          <w:rFonts w:hint="default" w:ascii="Times New Roman" w:hAnsi="Times New Roman" w:eastAsia="仿宋_GB2312" w:cs="Times New Roman"/>
          <w:sz w:val="32"/>
          <w:szCs w:val="32"/>
        </w:rPr>
        <w:t>根据《反垄断法》第二十条规定</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w:t>
      </w:r>
      <w:r>
        <w:rPr>
          <w:rFonts w:hint="default" w:ascii="Times New Roman" w:hAnsi="Times New Roman" w:eastAsia="仿宋_GB2312" w:cs="Times New Roman"/>
          <w:kern w:val="2"/>
          <w:sz w:val="32"/>
          <w:szCs w:val="22"/>
          <w:highlight w:val="none"/>
          <w:lang w:val="en-US" w:eastAsia="zh-CN" w:bidi="ar-SA"/>
        </w:rPr>
        <w:t>该交易系设立合营企业，</w:t>
      </w:r>
      <w:r>
        <w:rPr>
          <w:rFonts w:hint="default" w:ascii="Times New Roman" w:hAnsi="Times New Roman" w:eastAsia="仿宋_GB2312" w:cs="Times New Roman"/>
          <w:bCs/>
          <w:sz w:val="32"/>
          <w:szCs w:val="32"/>
          <w:lang w:val="en-US" w:eastAsia="zh-CN"/>
        </w:rPr>
        <w:t>弘云久康持有浙江扁鹊45%股权，上海云鑫持有40%股权，杭州云庭持有15%股权。根据《增资协议》、《股东协议》以及《</w:t>
      </w:r>
      <w:r>
        <w:rPr>
          <w:rFonts w:hint="default" w:ascii="Times New Roman" w:hAnsi="Times New Roman" w:eastAsia="仿宋_GB2312" w:cs="Times New Roman"/>
          <w:bCs/>
          <w:sz w:val="32"/>
          <w:szCs w:val="32"/>
          <w:lang w:val="zh-TW" w:eastAsia="zh-CN"/>
        </w:rPr>
        <w:t>浙江扁鹊健康数据技术有限公司章程</w:t>
      </w:r>
      <w:r>
        <w:rPr>
          <w:rFonts w:hint="default" w:ascii="Times New Roman" w:hAnsi="Times New Roman" w:eastAsia="仿宋_GB2312" w:cs="Times New Roman"/>
          <w:bCs/>
          <w:sz w:val="32"/>
          <w:szCs w:val="32"/>
          <w:lang w:val="en-US" w:eastAsia="zh-CN"/>
        </w:rPr>
        <w:t>》，弘云久康和上海云鑫共同控制合营企业浙江扁鹊，属于《反垄断法》第二十条规定的经营者集中。</w:t>
      </w:r>
    </w:p>
    <w:p>
      <w:pPr>
        <w:pStyle w:val="3"/>
        <w:keepNext w:val="0"/>
        <w:keepLines w:val="0"/>
        <w:pageBreakBefore w:val="0"/>
        <w:widowControl w:val="0"/>
        <w:kinsoku/>
        <w:wordWrap/>
        <w:topLinePunct w:val="0"/>
        <w:bidi w:val="0"/>
        <w:snapToGrid/>
        <w:spacing w:after="0" w:line="594" w:lineRule="exact"/>
        <w:ind w:firstLine="628"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Cs/>
          <w:sz w:val="32"/>
          <w:szCs w:val="32"/>
        </w:rPr>
        <w:t>201</w:t>
      </w:r>
      <w:r>
        <w:rPr>
          <w:rFonts w:hint="eastAsia" w:ascii="Times New Roman" w:hAnsi="Times New Roman" w:eastAsia="仿宋_GB2312" w:cs="Times New Roman"/>
          <w:bCs/>
          <w:sz w:val="32"/>
          <w:szCs w:val="32"/>
          <w:lang w:val="en-US" w:eastAsia="zh-CN"/>
        </w:rPr>
        <w:t>7年</w:t>
      </w:r>
      <w:r>
        <w:rPr>
          <w:rFonts w:hint="eastAsia" w:ascii="Times New Roman" w:hAnsi="Times New Roman" w:eastAsia="仿宋_GB2312" w:cs="Times New Roman"/>
          <w:bCs/>
          <w:sz w:val="32"/>
          <w:szCs w:val="32"/>
          <w:lang w:eastAsia="zh-CN"/>
        </w:rPr>
        <w:t>弘云久康及其关联方</w:t>
      </w:r>
      <w:r>
        <w:rPr>
          <w:rFonts w:hint="default" w:ascii="Times New Roman" w:hAnsi="Times New Roman" w:eastAsia="仿宋_GB2312" w:cs="Times New Roman"/>
          <w:bCs/>
          <w:sz w:val="32"/>
          <w:szCs w:val="32"/>
          <w:lang w:eastAsia="zh-CN"/>
        </w:rPr>
        <w:t>全球</w:t>
      </w:r>
      <w:r>
        <w:rPr>
          <w:rFonts w:hint="default" w:ascii="Times New Roman" w:hAnsi="Times New Roman" w:eastAsia="仿宋_GB2312" w:cs="Times New Roman"/>
          <w:bCs/>
          <w:sz w:val="32"/>
          <w:szCs w:val="32"/>
        </w:rPr>
        <w:t>营业额为</w:t>
      </w:r>
      <w:r>
        <w:rPr>
          <w:rFonts w:hint="eastAsia" w:eastAsia="仿宋_GB2312" w:cs="Times New Roman"/>
          <w:bCs/>
          <w:sz w:val="32"/>
          <w:szCs w:val="32"/>
          <w:lang w:eastAsia="zh-CN"/>
        </w:rPr>
        <w:t>（略）</w:t>
      </w:r>
      <w:r>
        <w:rPr>
          <w:rFonts w:hint="default" w:ascii="Times New Roman" w:hAnsi="Times New Roman" w:eastAsia="仿宋_GB2312" w:cs="Times New Roman"/>
          <w:bCs/>
          <w:sz w:val="32"/>
          <w:szCs w:val="32"/>
          <w:lang w:eastAsia="zh-CN"/>
        </w:rPr>
        <w:t>，中国境内营业额为</w:t>
      </w:r>
      <w:r>
        <w:rPr>
          <w:rFonts w:hint="eastAsia" w:eastAsia="仿宋_GB2312" w:cs="Times New Roman"/>
          <w:bCs/>
          <w:sz w:val="32"/>
          <w:szCs w:val="32"/>
          <w:lang w:eastAsia="zh-CN"/>
        </w:rPr>
        <w:t>（略）</w:t>
      </w:r>
      <w:r>
        <w:rPr>
          <w:rFonts w:hint="eastAsia" w:ascii="Times New Roman" w:hAnsi="Times New Roman" w:eastAsia="仿宋_GB2312" w:cs="Times New Roman"/>
          <w:bCs/>
          <w:sz w:val="32"/>
          <w:szCs w:val="32"/>
          <w:lang w:val="en-US" w:eastAsia="zh-CN"/>
        </w:rPr>
        <w:t>；</w:t>
      </w:r>
      <w:r>
        <w:rPr>
          <w:rFonts w:hint="eastAsia" w:ascii="Times New Roman" w:hAnsi="Times New Roman" w:eastAsia="仿宋_GB2312" w:cs="Times New Roman"/>
          <w:bCs/>
          <w:sz w:val="32"/>
          <w:szCs w:val="32"/>
          <w:lang w:eastAsia="zh-CN"/>
        </w:rPr>
        <w:t>上海云鑫及其关联方</w:t>
      </w:r>
      <w:r>
        <w:rPr>
          <w:rFonts w:hint="default" w:ascii="Times New Roman" w:hAnsi="Times New Roman" w:eastAsia="仿宋_GB2312" w:cs="Times New Roman"/>
          <w:bCs/>
          <w:sz w:val="32"/>
          <w:szCs w:val="32"/>
        </w:rPr>
        <w:t>全球营业</w:t>
      </w:r>
      <w:r>
        <w:rPr>
          <w:rFonts w:hint="default" w:ascii="Times New Roman" w:hAnsi="Times New Roman" w:eastAsia="仿宋_GB2312" w:cs="Times New Roman"/>
          <w:bCs/>
          <w:sz w:val="32"/>
          <w:szCs w:val="32"/>
          <w:lang w:eastAsia="zh-CN"/>
        </w:rPr>
        <w:t>额</w:t>
      </w:r>
      <w:r>
        <w:rPr>
          <w:rFonts w:hint="default" w:ascii="Times New Roman" w:hAnsi="Times New Roman" w:eastAsia="仿宋_GB2312" w:cs="Times New Roman"/>
          <w:bCs/>
          <w:sz w:val="32"/>
          <w:szCs w:val="32"/>
        </w:rPr>
        <w:t>为</w:t>
      </w:r>
      <w:r>
        <w:rPr>
          <w:rFonts w:hint="eastAsia" w:eastAsia="仿宋_GB2312" w:cs="Times New Roman"/>
          <w:bCs/>
          <w:sz w:val="32"/>
          <w:szCs w:val="32"/>
          <w:lang w:eastAsia="zh-CN"/>
        </w:rPr>
        <w:t>（略）</w:t>
      </w:r>
      <w:r>
        <w:rPr>
          <w:rFonts w:hint="default" w:ascii="Times New Roman" w:hAnsi="Times New Roman" w:eastAsia="仿宋_GB2312" w:cs="Times New Roman"/>
          <w:bCs/>
          <w:sz w:val="32"/>
          <w:szCs w:val="32"/>
          <w:lang w:eastAsia="zh-CN"/>
        </w:rPr>
        <w:t>，</w:t>
      </w:r>
      <w:r>
        <w:rPr>
          <w:rFonts w:hint="default" w:ascii="Times New Roman" w:hAnsi="Times New Roman" w:eastAsia="仿宋_GB2312" w:cs="Times New Roman"/>
          <w:bCs/>
          <w:sz w:val="32"/>
          <w:szCs w:val="32"/>
        </w:rPr>
        <w:t>中国</w:t>
      </w:r>
      <w:r>
        <w:rPr>
          <w:rFonts w:hint="default" w:ascii="Times New Roman" w:hAnsi="Times New Roman" w:eastAsia="仿宋_GB2312" w:cs="Times New Roman"/>
          <w:bCs/>
          <w:sz w:val="32"/>
          <w:szCs w:val="32"/>
          <w:lang w:eastAsia="zh-CN"/>
        </w:rPr>
        <w:t>境内</w:t>
      </w:r>
      <w:r>
        <w:rPr>
          <w:rFonts w:hint="default" w:ascii="Times New Roman" w:hAnsi="Times New Roman" w:eastAsia="仿宋_GB2312" w:cs="Times New Roman"/>
          <w:bCs/>
          <w:sz w:val="32"/>
          <w:szCs w:val="32"/>
        </w:rPr>
        <w:t>营业额为</w:t>
      </w:r>
      <w:r>
        <w:rPr>
          <w:rFonts w:hint="eastAsia" w:eastAsia="仿宋_GB2312" w:cs="Times New Roman"/>
          <w:bCs/>
          <w:sz w:val="32"/>
          <w:szCs w:val="32"/>
          <w:lang w:eastAsia="zh-CN"/>
        </w:rPr>
        <w:t>（略）</w:t>
      </w:r>
      <w:r>
        <w:rPr>
          <w:rFonts w:hint="eastAsia" w:ascii="Times New Roman" w:hAnsi="Times New Roman" w:eastAsia="仿宋_GB2312" w:cs="Times New Roman"/>
          <w:bCs/>
          <w:sz w:val="32"/>
          <w:szCs w:val="32"/>
          <w:lang w:eastAsia="zh-CN"/>
        </w:rPr>
        <w:t>，</w:t>
      </w:r>
      <w:r>
        <w:rPr>
          <w:rFonts w:hint="default" w:ascii="Times New Roman" w:hAnsi="Times New Roman" w:eastAsia="仿宋_GB2312" w:cs="Times New Roman"/>
          <w:sz w:val="32"/>
          <w:szCs w:val="32"/>
        </w:rPr>
        <w:t>达到《国务院关于经营者集中申报标准的规定》第三条规定的申报标准，属于应当申报的情形。</w:t>
      </w:r>
    </w:p>
    <w:p>
      <w:pPr>
        <w:keepNext w:val="0"/>
        <w:keepLines w:val="0"/>
        <w:pageBreakBefore w:val="0"/>
        <w:widowControl w:val="0"/>
        <w:kinsoku/>
        <w:wordWrap/>
        <w:topLinePunct w:val="0"/>
        <w:bidi w:val="0"/>
        <w:adjustRightInd w:val="0"/>
        <w:snapToGrid w:val="0"/>
        <w:spacing w:line="594" w:lineRule="exact"/>
        <w:ind w:left="0" w:firstLine="628"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根据《反垄断法》第二十一条规定</w:t>
      </w:r>
      <w:r>
        <w:rPr>
          <w:rFonts w:hint="default" w:ascii="Times New Roman" w:hAnsi="Times New Roman" w:eastAsia="仿宋_GB2312" w:cs="Times New Roman"/>
          <w:sz w:val="32"/>
          <w:szCs w:val="32"/>
          <w:lang w:eastAsia="zh-CN"/>
        </w:rPr>
        <w:t>“经</w:t>
      </w:r>
      <w:r>
        <w:rPr>
          <w:rFonts w:hint="default" w:ascii="Times New Roman" w:hAnsi="Times New Roman" w:eastAsia="仿宋_GB2312" w:cs="Times New Roman"/>
          <w:sz w:val="32"/>
          <w:szCs w:val="32"/>
        </w:rPr>
        <w:t>营者集中达到国</w:t>
      </w:r>
      <w:r>
        <w:rPr>
          <w:rFonts w:hint="default" w:ascii="Times New Roman" w:hAnsi="Times New Roman" w:eastAsia="仿宋_GB2312" w:cs="Times New Roman"/>
          <w:bCs/>
          <w:kern w:val="2"/>
          <w:sz w:val="32"/>
          <w:szCs w:val="32"/>
          <w:u w:val="none"/>
          <w:lang w:val="en-US" w:eastAsia="zh-CN" w:bidi="ar-SA"/>
        </w:rPr>
        <w:t>务院规定的申报标准的，经营者应当事先向国务院反垄断执法机构申报，未申报的不得实施集中”。</w:t>
      </w:r>
      <w:r>
        <w:rPr>
          <w:rFonts w:hint="default" w:ascii="Times New Roman" w:hAnsi="Times New Roman" w:eastAsia="仿宋_GB2312" w:cs="Times New Roman"/>
          <w:sz w:val="32"/>
          <w:szCs w:val="32"/>
        </w:rPr>
        <w:t>2018年7月19日，浙江扁鹊完成股权变更登记手续</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bCs/>
          <w:kern w:val="2"/>
          <w:sz w:val="32"/>
          <w:szCs w:val="32"/>
          <w:u w:val="none"/>
          <w:lang w:val="en-US" w:eastAsia="zh-CN" w:bidi="ar-SA"/>
        </w:rPr>
        <w:t>在此之前未向</w:t>
      </w:r>
      <w:r>
        <w:rPr>
          <w:rFonts w:hint="eastAsia" w:eastAsia="仿宋_GB2312" w:cs="Times New Roman"/>
          <w:bCs/>
          <w:kern w:val="2"/>
          <w:sz w:val="32"/>
          <w:szCs w:val="32"/>
          <w:u w:val="none"/>
          <w:lang w:val="en-US" w:eastAsia="zh-CN" w:bidi="ar-SA"/>
        </w:rPr>
        <w:t>本机关</w:t>
      </w:r>
      <w:r>
        <w:rPr>
          <w:rFonts w:hint="default" w:ascii="Times New Roman" w:hAnsi="Times New Roman" w:eastAsia="仿宋_GB2312" w:cs="Times New Roman"/>
          <w:bCs/>
          <w:kern w:val="2"/>
          <w:sz w:val="32"/>
          <w:szCs w:val="32"/>
          <w:u w:val="none"/>
          <w:lang w:val="en-US" w:eastAsia="zh-CN" w:bidi="ar-SA"/>
        </w:rPr>
        <w:t>申报，违反《反垄断法》第二十一条，构成违法实施</w:t>
      </w:r>
      <w:r>
        <w:rPr>
          <w:rFonts w:hint="default" w:ascii="Times New Roman" w:hAnsi="Times New Roman" w:eastAsia="仿宋_GB2312" w:cs="Times New Roman"/>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kinsoku/>
        <w:wordWrap/>
        <w:topLinePunct w:val="0"/>
        <w:bidi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sz w:val="32"/>
          <w:szCs w:val="32"/>
          <w:lang w:eastAsia="zh-CN"/>
        </w:rPr>
        <w:t>弘云久康和上海云鑫</w:t>
      </w:r>
      <w:r>
        <w:rPr>
          <w:rFonts w:hint="default" w:ascii="Times New Roman" w:hAnsi="Times New Roman" w:eastAsia="仿宋_GB2312" w:cs="Times New Roman"/>
          <w:sz w:val="32"/>
          <w:szCs w:val="32"/>
          <w:lang w:val="en-GB"/>
        </w:rPr>
        <w:t>设立合营企业</w:t>
      </w:r>
      <w:r>
        <w:rPr>
          <w:rFonts w:hint="default" w:ascii="Times New Roman" w:hAnsi="Times New Roman" w:eastAsia="仿宋_GB2312" w:cs="Times New Roman"/>
          <w:sz w:val="32"/>
          <w:szCs w:val="32"/>
          <w:lang w:val="en-GB" w:eastAsia="zh-CN"/>
        </w:rPr>
        <w:t>浙江扁鹊</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bookmarkStart w:id="0" w:name="_GoBack"/>
      <w:bookmarkEnd w:id="0"/>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基于上述调查情况和评估结论，本机关</w:t>
      </w:r>
      <w:r>
        <w:rPr>
          <w:rFonts w:hint="default" w:ascii="Times New Roman" w:hAnsi="Times New Roman" w:eastAsia="仿宋_GB2312" w:cs="Times New Roman"/>
          <w:bCs/>
          <w:color w:val="000000"/>
          <w:kern w:val="2"/>
          <w:sz w:val="32"/>
          <w:szCs w:val="32"/>
          <w:lang w:eastAsia="zh-CN"/>
        </w:rPr>
        <w:t>分别</w:t>
      </w:r>
      <w:r>
        <w:rPr>
          <w:rFonts w:hint="default" w:ascii="Times New Roman" w:hAnsi="Times New Roman" w:eastAsia="仿宋_GB2312" w:cs="Times New Roman"/>
          <w:bCs/>
          <w:color w:val="000000"/>
          <w:kern w:val="2"/>
          <w:sz w:val="32"/>
          <w:szCs w:val="32"/>
        </w:rPr>
        <w:t>给予</w:t>
      </w:r>
      <w:r>
        <w:rPr>
          <w:rFonts w:hint="default" w:ascii="Times New Roman" w:hAnsi="Times New Roman" w:eastAsia="仿宋_GB2312" w:cs="Times New Roman"/>
          <w:sz w:val="32"/>
          <w:szCs w:val="32"/>
          <w:lang w:eastAsia="zh-CN"/>
        </w:rPr>
        <w:t>弘云久康和上海云鑫</w:t>
      </w:r>
      <w:r>
        <w:rPr>
          <w:rFonts w:hint="default" w:ascii="Times New Roman" w:hAnsi="Times New Roman" w:eastAsia="仿宋_GB2312" w:cs="Times New Roman"/>
          <w:bCs/>
          <w:color w:val="000000"/>
          <w:kern w:val="2"/>
          <w:sz w:val="32"/>
          <w:szCs w:val="32"/>
          <w:lang w:val="en-US" w:eastAsia="zh-CN"/>
        </w:rPr>
        <w:t>50万元</w:t>
      </w:r>
      <w:r>
        <w:rPr>
          <w:rFonts w:hint="default" w:ascii="Times New Roman" w:hAnsi="Times New Roman" w:eastAsia="仿宋_GB2312" w:cs="Times New Roman"/>
          <w:bCs/>
          <w:color w:val="000000"/>
          <w:kern w:val="2"/>
          <w:sz w:val="32"/>
          <w:szCs w:val="32"/>
        </w:rPr>
        <w:t>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highlight w:val="yellow"/>
        </w:rPr>
      </w:pPr>
      <w:r>
        <w:rPr>
          <w:rFonts w:hint="eastAsia" w:eastAsia="仿宋_GB2312"/>
          <w:kern w:val="2"/>
          <w:sz w:val="32"/>
          <w:szCs w:val="32"/>
        </w:rPr>
        <w:t>当事</w:t>
      </w:r>
      <w:r>
        <w:rPr>
          <w:rFonts w:hint="eastAsia" w:eastAsia="仿宋_GB2312"/>
          <w:kern w:val="2"/>
          <w:sz w:val="32"/>
          <w:szCs w:val="32"/>
          <w:lang w:eastAsia="zh-CN"/>
        </w:rPr>
        <w:t>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w:t>
      </w:r>
      <w:r>
        <w:rPr>
          <w:rFonts w:hint="eastAsia" w:eastAsia="仿宋_GB2312"/>
          <w:kern w:val="2"/>
          <w:sz w:val="32"/>
          <w:szCs w:val="32"/>
          <w:highlight w:val="none"/>
        </w:rPr>
        <w:t>缴款码：</w:t>
      </w:r>
      <w:r>
        <w:rPr>
          <w:rFonts w:hint="default" w:ascii="Times New Roman" w:hAnsi="Times New Roman" w:eastAsia="仿宋_GB2312" w:cs="Times New Roman"/>
          <w:sz w:val="32"/>
          <w:szCs w:val="32"/>
          <w:lang w:eastAsia="zh-CN"/>
        </w:rPr>
        <w:t>弘云久康</w:t>
      </w:r>
      <w:r>
        <w:rPr>
          <w:rFonts w:hint="eastAsia" w:eastAsia="仿宋_GB2312" w:cs="Times New Roman"/>
          <w:b w:val="0"/>
          <w:bCs/>
          <w:kern w:val="2"/>
          <w:sz w:val="32"/>
          <w:szCs w:val="32"/>
          <w:lang w:val="en-US" w:eastAsia="zh-CN" w:bidi="ar-SA"/>
        </w:rPr>
        <w:t>（略）</w:t>
      </w:r>
      <w:r>
        <w:rPr>
          <w:rFonts w:hint="eastAsia" w:eastAsia="仿宋_GB2312"/>
          <w:kern w:val="2"/>
          <w:sz w:val="32"/>
          <w:szCs w:val="32"/>
          <w:highlight w:val="none"/>
          <w:lang w:val="en-US" w:eastAsia="zh-CN"/>
        </w:rPr>
        <w:t>，</w:t>
      </w:r>
      <w:r>
        <w:rPr>
          <w:rFonts w:hint="default" w:ascii="Times New Roman" w:hAnsi="Times New Roman" w:eastAsia="仿宋_GB2312" w:cs="Times New Roman"/>
          <w:sz w:val="32"/>
          <w:szCs w:val="32"/>
          <w:lang w:eastAsia="zh-CN"/>
        </w:rPr>
        <w:t>上海云鑫</w:t>
      </w:r>
      <w:r>
        <w:rPr>
          <w:rFonts w:hint="eastAsia" w:eastAsia="仿宋_GB2312" w:cs="Times New Roman"/>
          <w:b w:val="0"/>
          <w:bCs/>
          <w:kern w:val="2"/>
          <w:sz w:val="32"/>
          <w:szCs w:val="32"/>
          <w:lang w:val="en-US" w:eastAsia="zh-CN" w:bidi="ar-SA"/>
        </w:rPr>
        <w:t>（略）</w:t>
      </w:r>
      <w:r>
        <w:rPr>
          <w:rFonts w:hint="eastAsia" w:eastAsia="仿宋_GB2312"/>
          <w:kern w:val="2"/>
          <w:sz w:val="32"/>
          <w:szCs w:val="32"/>
          <w:highlight w:val="none"/>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当事</w:t>
      </w:r>
      <w:r>
        <w:rPr>
          <w:rFonts w:hint="eastAsia" w:eastAsia="仿宋_GB2312"/>
          <w:kern w:val="2"/>
          <w:sz w:val="32"/>
          <w:szCs w:val="32"/>
          <w:lang w:eastAsia="zh-CN"/>
        </w:rPr>
        <w:t>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94" w:lineRule="exact"/>
        <w:ind w:firstLine="5433" w:firstLineChars="1730"/>
        <w:textAlignment w:val="auto"/>
        <w:rPr>
          <w:rFonts w:hint="eastAsia" w:eastAsia="仿宋_GB2312"/>
          <w:kern w:val="2"/>
          <w:sz w:val="32"/>
          <w:szCs w:val="32"/>
        </w:rPr>
      </w:pPr>
    </w:p>
    <w:p>
      <w:pPr>
        <w:keepNext w:val="0"/>
        <w:keepLines w:val="0"/>
        <w:pageBreakBefore w:val="0"/>
        <w:widowControl w:val="0"/>
        <w:kinsoku/>
        <w:wordWrap/>
        <w:topLinePunct w:val="0"/>
        <w:bidi w:val="0"/>
        <w:snapToGrid w:val="0"/>
        <w:spacing w:line="594"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3</w:t>
      </w:r>
      <w:r>
        <w:rPr>
          <w:rFonts w:hint="eastAsia" w:eastAsia="仿宋_GB2312"/>
          <w:kern w:val="2"/>
          <w:sz w:val="32"/>
          <w:szCs w:val="32"/>
        </w:rPr>
        <w:t>月</w:t>
      </w:r>
      <w:r>
        <w:rPr>
          <w:rFonts w:hint="eastAsia" w:eastAsia="仿宋_GB2312"/>
          <w:kern w:val="2"/>
          <w:sz w:val="32"/>
          <w:szCs w:val="32"/>
          <w:lang w:val="en-US" w:eastAsia="zh-CN"/>
        </w:rPr>
        <w:t>22</w:t>
      </w:r>
      <w:r>
        <w:rPr>
          <w:rFonts w:hint="eastAsia" w:eastAsia="仿宋_GB2312"/>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6"/>
        <w:rFonts w:hint="eastAsia" w:ascii="宋体" w:hAnsi="宋体"/>
        <w:sz w:val="28"/>
        <w:szCs w:val="28"/>
      </w:rPr>
    </w:pPr>
    <w:r>
      <w:rPr>
        <w:rStyle w:val="6"/>
        <w:rFonts w:hint="eastAsia" w:ascii="宋体" w:hAnsi="宋体"/>
        <w:sz w:val="28"/>
        <w:szCs w:val="28"/>
      </w:rPr>
      <w:t xml:space="preserve">— </w:t>
    </w:r>
    <w:r>
      <w:rPr>
        <w:rStyle w:val="6"/>
        <w:rFonts w:ascii="宋体" w:hAnsi="宋体"/>
        <w:sz w:val="28"/>
        <w:szCs w:val="28"/>
      </w:rPr>
      <w:fldChar w:fldCharType="begin"/>
    </w:r>
    <w:r>
      <w:rPr>
        <w:rStyle w:val="6"/>
        <w:rFonts w:ascii="宋体" w:hAnsi="宋体"/>
        <w:sz w:val="28"/>
        <w:szCs w:val="28"/>
      </w:rPr>
      <w:instrText xml:space="preserve">PAGE  </w:instrText>
    </w:r>
    <w:r>
      <w:rPr>
        <w:rStyle w:val="6"/>
        <w:rFonts w:ascii="宋体" w:hAnsi="宋体"/>
        <w:sz w:val="28"/>
        <w:szCs w:val="28"/>
      </w:rPr>
      <w:fldChar w:fldCharType="separate"/>
    </w:r>
    <w:r>
      <w:rPr>
        <w:rStyle w:val="6"/>
        <w:rFonts w:ascii="宋体" w:hAnsi="宋体"/>
        <w:sz w:val="28"/>
        <w:szCs w:val="28"/>
      </w:rPr>
      <w:t>1</w:t>
    </w:r>
    <w:r>
      <w:rPr>
        <w:rStyle w:val="6"/>
        <w:rFonts w:ascii="宋体" w:hAnsi="宋体"/>
        <w:sz w:val="28"/>
        <w:szCs w:val="28"/>
      </w:rPr>
      <w:fldChar w:fldCharType="end"/>
    </w:r>
    <w:r>
      <w:rPr>
        <w:rStyle w:val="6"/>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6"/>
      </w:rPr>
    </w:pPr>
    <w:r>
      <w:rPr>
        <w:rStyle w:val="6"/>
      </w:rPr>
      <w:fldChar w:fldCharType="begin"/>
    </w:r>
    <w:r>
      <w:rPr>
        <w:rStyle w:val="6"/>
      </w:rPr>
      <w:instrText xml:space="preserve">PAGE  </w:instrText>
    </w:r>
    <w:r>
      <w:rPr>
        <w:rStyle w:val="6"/>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64B47FD"/>
    <w:rsid w:val="075F674C"/>
    <w:rsid w:val="079C6180"/>
    <w:rsid w:val="09AC08F5"/>
    <w:rsid w:val="09FA1746"/>
    <w:rsid w:val="0D2A0962"/>
    <w:rsid w:val="1340665E"/>
    <w:rsid w:val="156433FA"/>
    <w:rsid w:val="16657401"/>
    <w:rsid w:val="17377FF2"/>
    <w:rsid w:val="185052F6"/>
    <w:rsid w:val="189B4795"/>
    <w:rsid w:val="192053EE"/>
    <w:rsid w:val="1A156921"/>
    <w:rsid w:val="1B095395"/>
    <w:rsid w:val="1D3570B1"/>
    <w:rsid w:val="1E4B0602"/>
    <w:rsid w:val="1F573D93"/>
    <w:rsid w:val="20284120"/>
    <w:rsid w:val="265326DA"/>
    <w:rsid w:val="28C8606C"/>
    <w:rsid w:val="29171A1E"/>
    <w:rsid w:val="2DD22C93"/>
    <w:rsid w:val="31B00AB8"/>
    <w:rsid w:val="31E778A8"/>
    <w:rsid w:val="323C1965"/>
    <w:rsid w:val="33B94AAA"/>
    <w:rsid w:val="358D1226"/>
    <w:rsid w:val="359C5F7B"/>
    <w:rsid w:val="38043EF0"/>
    <w:rsid w:val="3A8D36F6"/>
    <w:rsid w:val="3A9874AC"/>
    <w:rsid w:val="3B5D4FD4"/>
    <w:rsid w:val="3DFB313B"/>
    <w:rsid w:val="4ABC40B8"/>
    <w:rsid w:val="4B984F11"/>
    <w:rsid w:val="4CA81A9F"/>
    <w:rsid w:val="4D074BC3"/>
    <w:rsid w:val="4DDF0226"/>
    <w:rsid w:val="4EF957B9"/>
    <w:rsid w:val="4EFD73AF"/>
    <w:rsid w:val="51075873"/>
    <w:rsid w:val="524D4800"/>
    <w:rsid w:val="54C2022D"/>
    <w:rsid w:val="581178E3"/>
    <w:rsid w:val="5A8E6244"/>
    <w:rsid w:val="5AE415B4"/>
    <w:rsid w:val="5B612D6E"/>
    <w:rsid w:val="5BDD2331"/>
    <w:rsid w:val="5C397B64"/>
    <w:rsid w:val="5D4E6DD5"/>
    <w:rsid w:val="5E54290F"/>
    <w:rsid w:val="601C6439"/>
    <w:rsid w:val="622E1F2F"/>
    <w:rsid w:val="65151324"/>
    <w:rsid w:val="69423D74"/>
    <w:rsid w:val="6ADF6C70"/>
    <w:rsid w:val="6C332A7A"/>
    <w:rsid w:val="723363E3"/>
    <w:rsid w:val="73F42689"/>
    <w:rsid w:val="74F07885"/>
    <w:rsid w:val="79A30360"/>
    <w:rsid w:val="79FA4FC3"/>
    <w:rsid w:val="7D525590"/>
    <w:rsid w:val="7F027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2">
    <w:name w:val="Normal Indent"/>
    <w:basedOn w:val="1"/>
    <w:qFormat/>
    <w:uiPriority w:val="0"/>
    <w:pPr>
      <w:spacing w:line="360" w:lineRule="exact"/>
      <w:ind w:firstLine="420" w:firstLineChars="200"/>
    </w:pPr>
    <w:rPr>
      <w:szCs w:val="20"/>
    </w:rPr>
  </w:style>
  <w:style w:type="paragraph" w:styleId="3">
    <w:name w:val="Body Text"/>
    <w:basedOn w:val="1"/>
    <w:unhideWhenUsed/>
    <w:qFormat/>
    <w:uiPriority w:val="0"/>
    <w:pPr>
      <w:spacing w:after="120"/>
    </w:pPr>
    <w:rPr>
      <w:rFonts w:ascii="Calibri" w:hAnsi="Calibri" w:eastAsia="宋体" w:cs="Times New Roman"/>
      <w:szCs w:val="22"/>
    </w:rPr>
  </w:style>
  <w:style w:type="paragraph" w:styleId="4">
    <w:name w:val="footer"/>
    <w:basedOn w:val="1"/>
    <w:qFormat/>
    <w:uiPriority w:val="0"/>
    <w:pPr>
      <w:tabs>
        <w:tab w:val="center" w:pos="4153"/>
        <w:tab w:val="right" w:pos="8306"/>
      </w:tabs>
      <w:snapToGrid w:val="0"/>
      <w:jc w:val="left"/>
    </w:pPr>
    <w:rPr>
      <w:sz w:val="18"/>
      <w:szCs w:val="18"/>
    </w:rPr>
  </w:style>
  <w:style w:type="character" w:styleId="6">
    <w:name w:val="page number"/>
    <w:basedOn w:val="5"/>
    <w:qFormat/>
    <w:uiPriority w:val="0"/>
  </w:style>
  <w:style w:type="paragraph" w:customStyle="1" w:styleId="8">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反垄断局监察处</cp:lastModifiedBy>
  <cp:lastPrinted>2021-03-22T07:12:00Z</cp:lastPrinted>
  <dcterms:modified xsi:type="dcterms:W3CDTF">2021-04-29T03:41:55Z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