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jc w:val="center"/>
        <w:textAlignment w:val="auto"/>
        <w:rPr>
          <w:rFonts w:hint="default" w:ascii="Times New Roman" w:hAnsi="Times New Roman" w:eastAsia="黑体" w:cs="Times New Roman"/>
          <w:bCs/>
          <w:color w:val="auto"/>
          <w:kern w:val="2"/>
          <w:sz w:val="52"/>
          <w:szCs w:val="52"/>
        </w:rPr>
      </w:pPr>
      <w:r>
        <w:rPr>
          <w:rFonts w:hint="default" w:ascii="Times New Roman" w:hAnsi="Times New Roman" w:eastAsia="黑体" w:cs="Times New Roman"/>
          <w:bCs/>
          <w:color w:val="auto"/>
          <w:spacing w:val="30"/>
          <w:kern w:val="0"/>
          <w:sz w:val="52"/>
          <w:szCs w:val="52"/>
          <w:fitText w:val="5742" w:id="434980390"/>
        </w:rPr>
        <w:t>国家市场监督管理总</w:t>
      </w:r>
      <w:r>
        <w:rPr>
          <w:rFonts w:hint="default" w:ascii="Times New Roman" w:hAnsi="Times New Roman" w:eastAsia="黑体" w:cs="Times New Roman"/>
          <w:bCs/>
          <w:color w:val="auto"/>
          <w:spacing w:val="1"/>
          <w:kern w:val="0"/>
          <w:sz w:val="52"/>
          <w:szCs w:val="52"/>
          <w:fitText w:val="5742" w:id="434980390"/>
        </w:rPr>
        <w:t>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jc w:val="center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44"/>
          <w:szCs w:val="44"/>
        </w:rPr>
      </w:pPr>
      <w:r>
        <w:rPr>
          <w:rFonts w:hint="default" w:ascii="Times New Roman" w:hAnsi="Times New Roman" w:eastAsia="黑体" w:cs="Times New Roman"/>
          <w:bCs/>
          <w:color w:val="auto"/>
          <w:spacing w:val="175"/>
          <w:kern w:val="0"/>
          <w:sz w:val="52"/>
          <w:szCs w:val="52"/>
          <w:fitText w:val="5742" w:id="1"/>
        </w:rPr>
        <w:t>行政处罚决定</w:t>
      </w:r>
      <w:r>
        <w:rPr>
          <w:rFonts w:hint="default" w:ascii="Times New Roman" w:hAnsi="Times New Roman" w:eastAsia="黑体" w:cs="Times New Roman"/>
          <w:bCs/>
          <w:color w:val="auto"/>
          <w:spacing w:val="1"/>
          <w:kern w:val="0"/>
          <w:sz w:val="52"/>
          <w:szCs w:val="52"/>
          <w:fitText w:val="5742" w:id="1"/>
        </w:rPr>
        <w:t>书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国市监处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〔202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〕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131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当事人：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青岛海信网络科技股份有限公司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 xml:space="preserve">住 </w:t>
      </w:r>
      <w:r>
        <w:rPr>
          <w:rFonts w:hint="eastAsia" w:ascii="Times New Roman" w:hAnsi="Times New Roman" w:eastAsia="黑体" w:cs="Times New Roman"/>
          <w:color w:val="auto"/>
          <w:kern w:val="2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所：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青岛市高科技工业园宁夏路308号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当事人：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腾讯控股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</w:rPr>
        <w:t>有限公司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val="en-US" w:eastAsia="zh-CN"/>
        </w:rPr>
        <w:t>Tencent Holdings Limited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住 所：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开曼群岛哈金斯大道克里奇广场2681邮箱（Cricket Square Hutchins Drive P.O.Box 2681 Grand Cayman KYI-1111 Cayman Islands)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94" w:lineRule="exact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根据《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反垄断法》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（以下简称《反垄断法》）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《经营者集中审查暂行规定》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，本机关于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2021年</w:t>
      </w:r>
      <w:r>
        <w:rPr>
          <w:rFonts w:hint="eastAsia" w:eastAsia="仿宋_GB2312" w:cs="Times New Roman"/>
          <w:color w:val="auto"/>
          <w:sz w:val="32"/>
          <w:szCs w:val="32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月12日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对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青岛海信网络科技股份有限公司（以下简称海信网科）与</w:t>
      </w:r>
      <w:r>
        <w:rPr>
          <w:rFonts w:hint="default" w:ascii="Times New Roman" w:hAnsi="Times New Roman" w:eastAsia="仿宋_GB2312" w:cs="Times New Roman"/>
          <w:sz w:val="32"/>
        </w:rPr>
        <w:t>腾讯控股有限公司（以下简称腾讯）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设立合营企业数字青岛建设有限公司（以下简称数字青岛）</w:t>
      </w:r>
      <w:r>
        <w:rPr>
          <w:rFonts w:hint="default" w:ascii="Times New Roman" w:hAnsi="Times New Roman" w:eastAsia="仿宋_GB2312" w:cs="Times New Roman"/>
          <w:color w:val="auto"/>
          <w:sz w:val="32"/>
          <w:lang w:val="en-US" w:eastAsia="zh-CN"/>
        </w:rPr>
        <w:t>涉嫌未依法申报违法实施经营者集中案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进行立案调查。</w:t>
      </w:r>
    </w:p>
    <w:p>
      <w:pPr>
        <w:keepNext w:val="0"/>
        <w:keepLines w:val="0"/>
        <w:pageBreakBefore w:val="0"/>
        <w:widowControl w:val="0"/>
        <w:suppressLineNumbers w:val="0"/>
        <w:suppressAutoHyphens/>
        <w:kinsoku/>
        <w:wordWrap/>
        <w:overflowPunct w:val="0"/>
        <w:topLinePunct w:val="0"/>
        <w:bidi w:val="0"/>
        <w:adjustRightInd w:val="0"/>
        <w:snapToGrid/>
        <w:spacing w:before="0" w:beforeAutospacing="0" w:afterAutospacing="0" w:line="594" w:lineRule="exact"/>
        <w:ind w:left="0" w:right="0" w:firstLine="628" w:firstLineChars="200"/>
        <w:jc w:val="left"/>
        <w:textAlignment w:val="auto"/>
        <w:outlineLvl w:val="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经查，该案构成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违法实施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经营者集中，但不具有排除、限制竞争的效果。本机关按照《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行政处罚法》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（以下简称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《行政处罚法》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的规定，向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海信网科</w:t>
      </w:r>
      <w:r>
        <w:rPr>
          <w:rFonts w:hint="eastAsia" w:eastAsia="仿宋_GB2312" w:cs="Times New Roman"/>
          <w:color w:val="auto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</w:rPr>
        <w:t>腾讯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送达了《行政处罚告知书》，告知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拟作出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行政处罚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内容及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事实、理由、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依据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并告知当事人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依法享有的陈述、申辩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要求听证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海信网科</w:t>
      </w:r>
      <w:r>
        <w:rPr>
          <w:rFonts w:hint="eastAsia" w:eastAsia="仿宋_GB2312" w:cs="Times New Roman"/>
          <w:color w:val="auto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</w:rPr>
        <w:t>腾讯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书面来函放弃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陈述、申辩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要求听证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的权利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。本案现已调查、审理终结。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一、基本情况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（一）交易方。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ind w:left="0" w:leftChars="0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合营方一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海信网科。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2000年12月于山东省青岛市注册成立，是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（略）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的子公司。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（略）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主要从事多媒体、家电、IT智能信息系统和现代服务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业务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2019年全球营业额为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人民币（币种下同）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，中国境内营业额为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（略）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left="0" w:leftChars="0" w:firstLine="628" w:firstLineChars="200"/>
        <w:textAlignment w:val="auto"/>
        <w:rPr>
          <w:rFonts w:hint="eastAsia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合营方二：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腾讯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1999</w:t>
      </w:r>
      <w:r>
        <w:rPr>
          <w:rFonts w:hint="default" w:ascii="Times New Roman" w:hAnsi="Times New Roman" w:eastAsia="仿宋_GB2312" w:cs="Times New Roman"/>
          <w:sz w:val="32"/>
          <w:lang w:eastAsia="zh-CN"/>
        </w:rPr>
        <w:t>年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11月于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英属维尔京群岛注册成立，2004年2月迁册至英属开曼群岛，2004年6月在香港联交所上市，通过协议控制境内主要运营实体深圳市腾讯计算机系统有限公司。主要业务包括社交和通信服务、社交网络平台、游戏、网络视频服务、互动娱乐直播等</w:t>
      </w:r>
      <w:r>
        <w:rPr>
          <w:rFonts w:hint="eastAsia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201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年全球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营业额为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中国境内营业额为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（二）交易概况。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41"/>
        <w:textAlignment w:val="auto"/>
        <w:outlineLvl w:val="9"/>
        <w:rPr>
          <w:rFonts w:hint="default" w:ascii="Times New Roman" w:hAnsi="Times New Roman" w:eastAsia="仿宋_GB2312" w:cs="Times New Roman"/>
          <w:bCs/>
          <w:color w:val="auto"/>
          <w:sz w:val="32"/>
          <w:szCs w:val="36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  <w:lang w:eastAsia="zh-CN"/>
        </w:rPr>
        <w:t>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交易系</w:t>
      </w:r>
      <w:r>
        <w:rPr>
          <w:rFonts w:hint="eastAsia" w:ascii="Times New Roman" w:hAnsi="Times New Roman" w:cs="Times New Roman"/>
          <w:color w:val="auto"/>
          <w:sz w:val="32"/>
          <w:szCs w:val="32"/>
          <w:lang w:val="en-US" w:eastAsia="zh-CN"/>
        </w:rPr>
        <w:t>新设合营企业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。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2020年3月12日，海信网科与青岛启迪大数据有限责任公司（以下简称青岛启迪）、腾讯（通过深圳市腾讯投资产业创投有限公司）、青岛华通科技投资有限责任公司（以下简称华通科技）签署《合资协议书》，设立合营企业数字青岛，海信网科持股45%，青岛启迪持股28%，腾讯持股15%，华通科技持股12%。根据《公司章程》，腾讯与海信网科共同控制合营企业，</w:t>
      </w:r>
      <w:r>
        <w:rPr>
          <w:rFonts w:hint="eastAsia" w:ascii="Times New Roman" w:hAnsi="Times New Roman" w:eastAsia="仿宋_GB2312" w:cs="Times New Roman"/>
          <w:bCs/>
          <w:sz w:val="32"/>
          <w:szCs w:val="36"/>
          <w:lang w:val="en-US" w:eastAsia="zh-CN"/>
        </w:rPr>
        <w:t>青岛启迪与华通科技对合营企业无控制权。</w:t>
      </w:r>
      <w:r>
        <w:rPr>
          <w:rFonts w:hint="default" w:ascii="Times New Roman" w:hAnsi="Times New Roman" w:eastAsia="仿宋_GB2312" w:cs="Times New Roman"/>
          <w:sz w:val="32"/>
        </w:rPr>
        <w:t>20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20</w:t>
      </w:r>
      <w:r>
        <w:rPr>
          <w:rFonts w:hint="default" w:ascii="Times New Roman" w:hAnsi="Times New Roman" w:eastAsia="仿宋_GB2312" w:cs="Times New Roman"/>
          <w:sz w:val="32"/>
        </w:rPr>
        <w:t>年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sz w:val="32"/>
        </w:rPr>
        <w:t>月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26</w:t>
      </w:r>
      <w:r>
        <w:rPr>
          <w:rFonts w:hint="default" w:ascii="Times New Roman" w:hAnsi="Times New Roman" w:eastAsia="仿宋_GB2312" w:cs="Times New Roman"/>
          <w:sz w:val="32"/>
        </w:rPr>
        <w:t>日，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合营企业数字青岛注册成立。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二、违法事实及理由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（一）本案构成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违法实施的经营者集中。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</w:rPr>
        <w:t>《反垄断法》第二十条规定“经营者集中是指下列情形：（一）经营者合并；（二）经营者通过取得股权或者资产的方式取得对其他经营者的控制权；（三）经营者通过合同等方式取得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对其他经营者的控制权或者能够对其他经营者施加决定性影响”。</w:t>
      </w:r>
      <w:r>
        <w:rPr>
          <w:rFonts w:hint="default" w:ascii="Times New Roman" w:hAnsi="Times New Roman" w:eastAsia="仿宋_GB2312" w:cs="Times New Roman"/>
          <w:sz w:val="32"/>
        </w:rPr>
        <w:t>20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20</w:t>
      </w:r>
      <w:r>
        <w:rPr>
          <w:rFonts w:hint="default" w:ascii="Times New Roman" w:hAnsi="Times New Roman" w:eastAsia="仿宋_GB2312" w:cs="Times New Roman"/>
          <w:sz w:val="32"/>
        </w:rPr>
        <w:t>年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sz w:val="32"/>
        </w:rPr>
        <w:t>月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12</w:t>
      </w:r>
      <w:r>
        <w:rPr>
          <w:rFonts w:hint="default" w:ascii="Times New Roman" w:hAnsi="Times New Roman" w:eastAsia="仿宋_GB2312" w:cs="Times New Roman"/>
          <w:sz w:val="32"/>
        </w:rPr>
        <w:t>日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，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海信网科、青岛启迪、腾讯、华通科技设立合营企业数字青岛，分别持股45%、28%、15%、12%，根据《公司章程》第15、16、17</w:t>
      </w:r>
      <w:r>
        <w:rPr>
          <w:rFonts w:hint="eastAsia" w:eastAsia="仿宋_GB2312" w:cs="Times New Roman"/>
          <w:sz w:val="32"/>
          <w:lang w:val="en-US" w:eastAsia="zh-CN"/>
        </w:rPr>
        <w:t>、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21条</w:t>
      </w:r>
      <w:r>
        <w:rPr>
          <w:rFonts w:hint="eastAsia" w:eastAsia="仿宋_GB2312" w:cs="Times New Roman"/>
          <w:sz w:val="32"/>
          <w:lang w:val="en-US" w:eastAsia="zh-CN"/>
        </w:rPr>
        <w:t>等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规定，海信网科与腾讯共同控制合营企业，</w:t>
      </w:r>
      <w:r>
        <w:rPr>
          <w:rFonts w:hint="default" w:ascii="Times New Roman" w:hAnsi="Times New Roman" w:eastAsia="仿宋_GB2312" w:cs="Times New Roman"/>
          <w:bCs/>
          <w:sz w:val="32"/>
          <w:szCs w:val="36"/>
        </w:rPr>
        <w:t>属于《反垄断法》第二十条规定的经营者集中。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ind w:left="0" w:leftChars="0"/>
        <w:textAlignment w:val="auto"/>
        <w:rPr>
          <w:rFonts w:hint="default" w:ascii="Times New Roman" w:hAnsi="Times New Roman" w:eastAsia="仿宋_GB2312" w:cs="Times New Roman"/>
          <w:bCs/>
          <w:sz w:val="32"/>
        </w:rPr>
      </w:pPr>
      <w:r>
        <w:rPr>
          <w:rFonts w:hint="default" w:ascii="Times New Roman" w:hAnsi="Times New Roman" w:eastAsia="仿宋_GB2312" w:cs="Times New Roman"/>
          <w:bCs/>
          <w:sz w:val="32"/>
        </w:rPr>
        <w:t>201</w:t>
      </w:r>
      <w:r>
        <w:rPr>
          <w:rFonts w:hint="eastAsia" w:ascii="Times New Roman" w:hAnsi="Times New Roman" w:eastAsia="仿宋_GB2312" w:cs="Times New Roman"/>
          <w:bCs/>
          <w:sz w:val="32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bCs/>
          <w:sz w:val="32"/>
        </w:rPr>
        <w:t>年</w:t>
      </w:r>
      <w:r>
        <w:rPr>
          <w:rFonts w:hint="eastAsia" w:ascii="Times New Roman" w:hAnsi="Times New Roman" w:eastAsia="仿宋_GB2312" w:cs="Times New Roman"/>
          <w:bCs/>
          <w:sz w:val="32"/>
          <w:lang w:val="en-US" w:eastAsia="zh-CN"/>
        </w:rPr>
        <w:t>度，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海信网科全球营业额为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（略）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，中国境内营业额为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（略）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；</w:t>
      </w:r>
      <w:r>
        <w:rPr>
          <w:rFonts w:hint="eastAsia" w:ascii="Times New Roman" w:hAnsi="Times New Roman" w:eastAsia="仿宋_GB2312" w:cs="Times New Roman"/>
          <w:bCs/>
          <w:sz w:val="32"/>
          <w:lang w:val="en-US" w:eastAsia="zh-CN"/>
        </w:rPr>
        <w:t>腾讯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全球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营业额为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中国境内营业额为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（略）</w:t>
      </w:r>
      <w:r>
        <w:rPr>
          <w:rFonts w:hint="eastAsia" w:ascii="Times New Roman" w:hAnsi="Times New Roman" w:eastAsia="仿宋_GB2312" w:cs="Times New Roman"/>
          <w:bCs/>
          <w:sz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bCs/>
          <w:sz w:val="32"/>
        </w:rPr>
        <w:t>达到《国务院关于经营者集中申报标准的规定》第三条规定的申报标准，属于应当申报的情形。</w:t>
      </w:r>
    </w:p>
    <w:p>
      <w:pPr>
        <w:pStyle w:val="5"/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before="0" w:beforeAutospacing="0" w:after="0" w:afterAutospacing="0" w:line="594" w:lineRule="exact"/>
        <w:ind w:firstLine="628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《反垄断法》第二十一条规定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“经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营者集中达到国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u w:val="none"/>
          <w:lang w:val="en-US" w:eastAsia="zh-CN" w:bidi="ar-SA"/>
        </w:rPr>
        <w:t>务院规定的申报标准的，经营者应当事先向国务院反垄断执法机构申报，未申报的不得实施集中”。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2020年3月26日</w:t>
      </w:r>
      <w:r>
        <w:rPr>
          <w:rFonts w:hint="default" w:ascii="Times New Roman" w:hAnsi="Times New Roman" w:eastAsia="仿宋_GB2312" w:cs="Times New Roman"/>
          <w:bCs/>
          <w:sz w:val="32"/>
          <w:szCs w:val="36"/>
        </w:rPr>
        <w:t>，</w:t>
      </w:r>
      <w:r>
        <w:rPr>
          <w:rFonts w:hint="eastAsia" w:ascii="Times New Roman" w:hAnsi="Times New Roman" w:eastAsia="仿宋_GB2312" w:cs="Times New Roman"/>
          <w:bCs/>
          <w:sz w:val="32"/>
          <w:szCs w:val="36"/>
          <w:lang w:val="en-US" w:eastAsia="zh-CN"/>
        </w:rPr>
        <w:t>合营企业注册成立</w:t>
      </w:r>
      <w:r>
        <w:rPr>
          <w:rFonts w:hint="default" w:ascii="Times New Roman" w:hAnsi="Times New Roman" w:eastAsia="仿宋_GB2312" w:cs="Times New Roman"/>
          <w:bCs/>
          <w:sz w:val="32"/>
          <w:szCs w:val="36"/>
        </w:rPr>
        <w:t>，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</w:rPr>
        <w:t>在此之前未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/>
        </w:rPr>
        <w:t>依法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</w:rPr>
        <w:t>申报，违反《反垄断法》第二十一条，构成违法实施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（二）本案不具有排除、限制竞争的效果。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left="0" w:leftChars="0" w:firstLine="628" w:firstLineChars="200"/>
        <w:textAlignment w:val="auto"/>
        <w:outlineLvl w:val="0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本机关就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海信网科与腾讯设立合营企业数字青岛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对市场竞争的影响进行了评估，评估认为，该项经营者集中不会产生排除、限制竞争的效果。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三、行政处罚依据和决定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16" w:firstLineChars="196"/>
        <w:textAlignment w:val="auto"/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《反垄断法》第四十八条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规定“经营者违反本法规定实施集中的，由国务院反垄断执法机构责令停止实施集中、限期处分股份或者资产、限期转让营业以及采取其他必要措施恢复到集中前的状态，可以处五十万元以下的罚款”。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《反垄断法》第四十九条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规定“对本法第四十六条、第四十七条、第四十八条规定的罚款，反垄断执法机构确定具体罚款数额时，应当考虑违法行为的性质、程度和持续的时间等因素”。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根据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上述规定，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基于调查情况和评估结论，本机关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决定</w:t>
      </w:r>
      <w:r>
        <w:rPr>
          <w:rFonts w:hint="eastAsia" w:eastAsia="仿宋_GB2312" w:cs="Times New Roman"/>
          <w:bCs/>
          <w:color w:val="auto"/>
          <w:kern w:val="2"/>
          <w:sz w:val="32"/>
          <w:szCs w:val="32"/>
          <w:lang w:val="en-US" w:eastAsia="zh-CN"/>
        </w:rPr>
        <w:t>分别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给予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海信网科、腾讯</w:t>
      </w:r>
      <w:r>
        <w:rPr>
          <w:rFonts w:hint="eastAsia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各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0万元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罚款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的行政处罚。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《行政处罚法》第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六十七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条规定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“作出罚款决定的行政机关应当与收缴罚款的机构分离。除依照本法第六十八条、第六十九条的规定当场收缴的罚款外，作出行政处罚决定的行政机关及其执法人员不得自行收缴罚款。当事人应当自收到行政处罚决定书之日起十五日内，到指定的银行或者通过电子支付系统缴纳罚款。银行应当收受罚款，并将罚款直接上缴国库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应当自收到本行政处罚决定书之日起十五日内，携缴款码到1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家中央财政非税收入收缴代理银行（工、农、中、建、交、中信、光大、招商、邮储、华夏、平安、兴业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、民生、广发、浙商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）任一银行网点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网上银行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缴纳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罚款。缴款码：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u w:val="none"/>
          <w14:textFill>
            <w14:solidFill>
              <w14:schemeClr w14:val="tx1"/>
            </w14:solidFill>
          </w14:textFill>
        </w:rPr>
        <w:t>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 xml:space="preserve">如对上述行政处罚决定不服，可以自收到本行政处罚决定书之日起六十日内，向国家市场监督管理总局申请行政复议；或者自收到本行政处罚决定书之日起六个月内，依法向人民法院提起行政诉讼。行政复议或者行政诉讼期间，本行政处罚决定不停止执行。 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pacing w:after="0" w:line="594" w:lineRule="exact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433" w:firstLineChars="173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市场监管总局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225" w:firstLineChars="1664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年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月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31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textAlignment w:val="auto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（此件公开发布）</w:t>
      </w:r>
    </w:p>
    <w:sectPr>
      <w:footerReference r:id="rId3" w:type="default"/>
      <w:footerReference r:id="rId4" w:type="even"/>
      <w:pgSz w:w="11906" w:h="16838"/>
      <w:pgMar w:top="1440" w:right="1803" w:bottom="1440" w:left="1803" w:header="851" w:footer="1814" w:gutter="0"/>
      <w:cols w:space="0" w:num="1"/>
      <w:rtlGutter w:val="0"/>
      <w:docGrid w:type="linesAndChars" w:linePitch="290" w:charSpace="-1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315" w:leftChars="150" w:right="315" w:rightChars="150"/>
      <w:rPr>
        <w:rStyle w:val="8"/>
        <w:rFonts w:hint="eastAsia" w:ascii="宋体" w:hAnsi="宋体"/>
        <w:sz w:val="28"/>
        <w:szCs w:val="28"/>
      </w:rPr>
    </w:pPr>
    <w:r>
      <w:rPr>
        <w:rStyle w:val="8"/>
        <w:rFonts w:hint="eastAsia" w:ascii="宋体" w:hAnsi="宋体"/>
        <w:sz w:val="28"/>
        <w:szCs w:val="28"/>
      </w:rPr>
      <w:t xml:space="preserve">— </w:t>
    </w:r>
    <w:r>
      <w:rPr>
        <w:rStyle w:val="8"/>
        <w:rFonts w:ascii="宋体" w:hAnsi="宋体"/>
        <w:sz w:val="28"/>
        <w:szCs w:val="28"/>
      </w:rPr>
      <w:fldChar w:fldCharType="begin"/>
    </w:r>
    <w:r>
      <w:rPr>
        <w:rStyle w:val="8"/>
        <w:rFonts w:ascii="宋体" w:hAnsi="宋体"/>
        <w:sz w:val="28"/>
        <w:szCs w:val="28"/>
      </w:rPr>
      <w:instrText xml:space="preserve">PAGE  </w:instrText>
    </w:r>
    <w:r>
      <w:rPr>
        <w:rStyle w:val="8"/>
        <w:rFonts w:ascii="宋体" w:hAnsi="宋体"/>
        <w:sz w:val="28"/>
        <w:szCs w:val="28"/>
      </w:rPr>
      <w:fldChar w:fldCharType="separate"/>
    </w:r>
    <w:r>
      <w:rPr>
        <w:rStyle w:val="8"/>
        <w:rFonts w:ascii="宋体" w:hAnsi="宋体"/>
        <w:sz w:val="28"/>
        <w:szCs w:val="28"/>
      </w:rPr>
      <w:t>1</w:t>
    </w:r>
    <w:r>
      <w:rPr>
        <w:rStyle w:val="8"/>
        <w:rFonts w:ascii="宋体" w:hAnsi="宋体"/>
        <w:sz w:val="28"/>
        <w:szCs w:val="28"/>
      </w:rPr>
      <w:fldChar w:fldCharType="end"/>
    </w:r>
    <w:r>
      <w:rPr>
        <w:rStyle w:val="8"/>
        <w:rFonts w:hint="eastAsia" w:ascii="宋体" w:hAnsi="宋体"/>
        <w:sz w:val="28"/>
        <w:szCs w:val="28"/>
      </w:rPr>
      <w:t xml:space="preserve"> —</w:t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4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570B1"/>
    <w:rsid w:val="0023200C"/>
    <w:rsid w:val="002C4C8A"/>
    <w:rsid w:val="03F1276A"/>
    <w:rsid w:val="04772CCF"/>
    <w:rsid w:val="05D15580"/>
    <w:rsid w:val="06DB7938"/>
    <w:rsid w:val="075F674C"/>
    <w:rsid w:val="09AC08F5"/>
    <w:rsid w:val="13F85EFD"/>
    <w:rsid w:val="16657401"/>
    <w:rsid w:val="169767E4"/>
    <w:rsid w:val="173B2FCB"/>
    <w:rsid w:val="188527D3"/>
    <w:rsid w:val="18DB1E51"/>
    <w:rsid w:val="192053EE"/>
    <w:rsid w:val="1A156921"/>
    <w:rsid w:val="1B095395"/>
    <w:rsid w:val="1C11264C"/>
    <w:rsid w:val="1D3570B1"/>
    <w:rsid w:val="1DFD740B"/>
    <w:rsid w:val="1ED67F29"/>
    <w:rsid w:val="1F573D93"/>
    <w:rsid w:val="1F7E74DE"/>
    <w:rsid w:val="21623065"/>
    <w:rsid w:val="21A54411"/>
    <w:rsid w:val="230C79BC"/>
    <w:rsid w:val="239A0124"/>
    <w:rsid w:val="265326DA"/>
    <w:rsid w:val="28C8606C"/>
    <w:rsid w:val="29171A1E"/>
    <w:rsid w:val="2A7A6DC6"/>
    <w:rsid w:val="2B0F6D0F"/>
    <w:rsid w:val="31E778A8"/>
    <w:rsid w:val="33684C36"/>
    <w:rsid w:val="33B94AAA"/>
    <w:rsid w:val="33E16394"/>
    <w:rsid w:val="38043EF0"/>
    <w:rsid w:val="39E75B24"/>
    <w:rsid w:val="3B3F9828"/>
    <w:rsid w:val="3D086E74"/>
    <w:rsid w:val="3FAD2E94"/>
    <w:rsid w:val="4297136E"/>
    <w:rsid w:val="43B84B68"/>
    <w:rsid w:val="44F1186A"/>
    <w:rsid w:val="48A63464"/>
    <w:rsid w:val="49513DE5"/>
    <w:rsid w:val="49F75885"/>
    <w:rsid w:val="4ABC40B8"/>
    <w:rsid w:val="4EF957B9"/>
    <w:rsid w:val="4EFD73AF"/>
    <w:rsid w:val="50EF3ECE"/>
    <w:rsid w:val="51075873"/>
    <w:rsid w:val="52A77C54"/>
    <w:rsid w:val="56EA563C"/>
    <w:rsid w:val="5A3853F1"/>
    <w:rsid w:val="5B1D24D8"/>
    <w:rsid w:val="5BDD2331"/>
    <w:rsid w:val="5C686AC3"/>
    <w:rsid w:val="5D4E6DD5"/>
    <w:rsid w:val="630535E1"/>
    <w:rsid w:val="63432760"/>
    <w:rsid w:val="640E6FE8"/>
    <w:rsid w:val="68197930"/>
    <w:rsid w:val="686D740E"/>
    <w:rsid w:val="6A564164"/>
    <w:rsid w:val="6F712D0C"/>
    <w:rsid w:val="7073388E"/>
    <w:rsid w:val="74782380"/>
    <w:rsid w:val="76F7E7DB"/>
    <w:rsid w:val="77C33B16"/>
    <w:rsid w:val="799C3559"/>
    <w:rsid w:val="7A782B89"/>
    <w:rsid w:val="7B020869"/>
    <w:rsid w:val="7CE345AA"/>
    <w:rsid w:val="7D641176"/>
    <w:rsid w:val="F5FF139D"/>
    <w:rsid w:val="FFDF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60" w:lineRule="exact"/>
      <w:ind w:firstLine="420" w:firstLineChars="200"/>
    </w:pPr>
    <w:rPr>
      <w:szCs w:val="20"/>
    </w:rPr>
  </w:style>
  <w:style w:type="paragraph" w:styleId="3">
    <w:name w:val="Body Text"/>
    <w:basedOn w:val="1"/>
    <w:unhideWhenUsed/>
    <w:qFormat/>
    <w:uiPriority w:val="0"/>
    <w:pPr>
      <w:spacing w:after="120"/>
    </w:pPr>
    <w:rPr>
      <w:rFonts w:ascii="Calibri" w:hAnsi="Calibri" w:eastAsia="宋体" w:cs="Times New Roman"/>
      <w:szCs w:val="2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page number"/>
    <w:basedOn w:val="7"/>
    <w:qFormat/>
    <w:uiPriority w:val="0"/>
  </w:style>
  <w:style w:type="paragraph" w:customStyle="1" w:styleId="9">
    <w:name w:val="内容"/>
    <w:basedOn w:val="1"/>
    <w:qFormat/>
    <w:uiPriority w:val="0"/>
    <w:pPr>
      <w:suppressAutoHyphens/>
      <w:overflowPunct w:val="0"/>
      <w:autoSpaceDE w:val="0"/>
      <w:autoSpaceDN w:val="0"/>
      <w:adjustRightInd w:val="0"/>
      <w:spacing w:line="360" w:lineRule="auto"/>
      <w:ind w:firstLine="200" w:firstLineChars="200"/>
    </w:pPr>
    <w:rPr>
      <w:rFonts w:ascii="仿宋_GB2312" w:hAnsi="仿宋_GB2312" w:eastAsia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2020-12-10T18:26:00Z</dcterms:created>
  <dc:creator>徐霄飞</dc:creator>
  <cp:lastModifiedBy>张宝成</cp:lastModifiedBy>
  <cp:lastPrinted>2021-07-02T22:21:00Z</cp:lastPrinted>
  <dcterms:modified xsi:type="dcterms:W3CDTF">2021-12-31T09:04:08Z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