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jc w:val="center"/>
        <w:textAlignment w:val="auto"/>
        <w:rPr>
          <w:rFonts w:hint="default" w:ascii="Times New Roman" w:hAnsi="Times New Roman" w:eastAsia="黑体" w:cs="Times New Roman"/>
          <w:bCs/>
          <w:color w:val="auto"/>
          <w:kern w:val="2"/>
          <w:sz w:val="52"/>
          <w:szCs w:val="52"/>
        </w:rPr>
      </w:pPr>
      <w:r>
        <w:rPr>
          <w:rFonts w:hint="default" w:ascii="Times New Roman" w:hAnsi="Times New Roman" w:eastAsia="黑体" w:cs="Times New Roman"/>
          <w:bCs/>
          <w:color w:val="auto"/>
          <w:spacing w:val="30"/>
          <w:kern w:val="0"/>
          <w:sz w:val="52"/>
          <w:szCs w:val="52"/>
          <w:fitText w:val="5742" w:id="434980390"/>
        </w:rPr>
        <w:t>国家市场监督管理总</w:t>
      </w:r>
      <w:r>
        <w:rPr>
          <w:rFonts w:hint="default" w:ascii="Times New Roman" w:hAnsi="Times New Roman" w:eastAsia="黑体" w:cs="Times New Roman"/>
          <w:bCs/>
          <w:color w:val="auto"/>
          <w:spacing w:val="1"/>
          <w:kern w:val="0"/>
          <w:sz w:val="52"/>
          <w:szCs w:val="52"/>
          <w:fitText w:val="5742" w:id="434980390"/>
        </w:rPr>
        <w:t>局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jc w:val="center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44"/>
          <w:szCs w:val="44"/>
        </w:rPr>
      </w:pPr>
      <w:r>
        <w:rPr>
          <w:rFonts w:hint="default" w:ascii="Times New Roman" w:hAnsi="Times New Roman" w:eastAsia="黑体" w:cs="Times New Roman"/>
          <w:bCs/>
          <w:color w:val="auto"/>
          <w:spacing w:val="175"/>
          <w:kern w:val="0"/>
          <w:sz w:val="52"/>
          <w:szCs w:val="52"/>
          <w:fitText w:val="5742" w:id="1"/>
        </w:rPr>
        <w:t>行政处罚决定</w:t>
      </w:r>
      <w:r>
        <w:rPr>
          <w:rFonts w:hint="default" w:ascii="Times New Roman" w:hAnsi="Times New Roman" w:eastAsia="黑体" w:cs="Times New Roman"/>
          <w:bCs/>
          <w:color w:val="auto"/>
          <w:spacing w:val="1"/>
          <w:kern w:val="0"/>
          <w:sz w:val="52"/>
          <w:szCs w:val="52"/>
          <w:fitText w:val="5742" w:id="1"/>
        </w:rPr>
        <w:t>书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line="594" w:lineRule="exact"/>
        <w:jc w:val="center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国市监处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〔202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〕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129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号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line="594" w:lineRule="exact"/>
        <w:jc w:val="center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当事人：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  <w:lang w:eastAsia="zh-CN"/>
        </w:rPr>
        <w:t>腾讯控股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</w:rPr>
        <w:t>有限公司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  <w:lang w:eastAsia="zh-CN"/>
        </w:rPr>
        <w:t>（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  <w:lang w:val="en-US" w:eastAsia="zh-CN"/>
        </w:rPr>
        <w:t>Tencent Holdings Limited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  <w:lang w:eastAsia="zh-CN"/>
        </w:rPr>
        <w:t>）</w:t>
      </w:r>
    </w:p>
    <w:p>
      <w:pPr>
        <w:pStyle w:val="3"/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after="0"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住 所：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  <w:t>开曼群岛哈金斯大道克里奇广场2681邮箱（Cricket Square Hutchins Drive P.O.Box 2681 Grand Cayman KYI-1111 Cayman Islands)</w:t>
      </w:r>
    </w:p>
    <w:p>
      <w:pPr>
        <w:pStyle w:val="3"/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after="0"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根据《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中华人民共和国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反垄断法》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（以下简称《反垄断法》）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《经营者集中审查暂行规定》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，本机关于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2021年</w:t>
      </w:r>
      <w:r>
        <w:rPr>
          <w:rFonts w:hint="eastAsia" w:eastAsia="仿宋_GB2312" w:cs="Times New Roman"/>
          <w:color w:val="auto"/>
          <w:sz w:val="32"/>
          <w:szCs w:val="32"/>
          <w:lang w:val="en-US" w:eastAsia="zh-CN"/>
        </w:rPr>
        <w:t>8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月12日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对</w:t>
      </w:r>
      <w:r>
        <w:rPr>
          <w:rFonts w:hint="default" w:ascii="Times New Roman" w:hAnsi="Times New Roman" w:eastAsia="仿宋_GB2312" w:cs="Times New Roman"/>
          <w:sz w:val="32"/>
        </w:rPr>
        <w:t>腾讯控股有限公司（以下简称腾讯）收购北京念念分享科技发展有限公司（以下简称念念分享）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股权</w:t>
      </w:r>
      <w:r>
        <w:rPr>
          <w:rFonts w:hint="default" w:ascii="Times New Roman" w:hAnsi="Times New Roman" w:eastAsia="仿宋_GB2312" w:cs="Times New Roman"/>
          <w:color w:val="auto"/>
          <w:sz w:val="32"/>
          <w:lang w:val="en-US" w:eastAsia="zh-CN"/>
        </w:rPr>
        <w:t>涉嫌未依法申报违法实施经营者集中案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进行立案调查。</w:t>
      </w:r>
    </w:p>
    <w:p>
      <w:pPr>
        <w:keepNext w:val="0"/>
        <w:keepLines w:val="0"/>
        <w:pageBreakBefore w:val="0"/>
        <w:widowControl w:val="0"/>
        <w:suppressLineNumbers w:val="0"/>
        <w:suppressAutoHyphens/>
        <w:kinsoku/>
        <w:wordWrap/>
        <w:overflowPunct w:val="0"/>
        <w:topLinePunct w:val="0"/>
        <w:bidi w:val="0"/>
        <w:adjustRightInd w:val="0"/>
        <w:snapToGrid/>
        <w:spacing w:before="0" w:beforeAutospacing="0" w:afterAutospacing="0" w:line="594" w:lineRule="exact"/>
        <w:ind w:left="0" w:right="0" w:firstLine="628" w:firstLineChars="200"/>
        <w:jc w:val="left"/>
        <w:textAlignment w:val="auto"/>
        <w:outlineLvl w:val="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经查，该案构成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未依法申报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违法实施经营者集中，但不具有排除、限制竞争的效果。本机关按照《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中华人民共和国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行政处罚法》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（以下简称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《行政处罚法》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）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的规定，向</w:t>
      </w:r>
      <w:r>
        <w:rPr>
          <w:rFonts w:hint="eastAsia" w:eastAsia="仿宋_GB2312" w:cs="Times New Roman"/>
          <w:color w:val="auto"/>
          <w:sz w:val="32"/>
          <w:szCs w:val="32"/>
          <w:lang w:val="en-US" w:eastAsia="zh-CN"/>
        </w:rPr>
        <w:t>腾讯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送达了《行政处罚告知书》，告知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拟作出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的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行政处罚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内容及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事实、理由、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依据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，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并告知当事人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依法享有的陈述、申辩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要求听证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的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权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利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。</w:t>
      </w:r>
      <w:r>
        <w:rPr>
          <w:rFonts w:hint="eastAsia" w:eastAsia="仿宋_GB2312" w:cs="Times New Roman"/>
          <w:color w:val="auto"/>
          <w:sz w:val="32"/>
          <w:szCs w:val="32"/>
          <w:lang w:val="en-US" w:eastAsia="zh-CN"/>
        </w:rPr>
        <w:t>腾讯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 w:bidi="ar"/>
        </w:rPr>
        <w:t>书面来函放弃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"/>
        </w:rPr>
        <w:t>陈述、申辩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 w:bidi="ar"/>
        </w:rPr>
        <w:t>和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"/>
        </w:rPr>
        <w:t>要求听证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 w:bidi="ar"/>
        </w:rPr>
        <w:t>的权利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"/>
        </w:rPr>
        <w:t>。本案现已调查、审理终结。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一、基本情况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（一）交易方。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sz w:val="32"/>
          <w:szCs w:val="32"/>
        </w:rPr>
        <w:t>收购方：</w:t>
      </w:r>
      <w:r>
        <w:rPr>
          <w:rFonts w:hint="default" w:ascii="Times New Roman" w:hAnsi="Times New Roman" w:eastAsia="仿宋_GB2312" w:cs="Times New Roman"/>
          <w:b/>
          <w:sz w:val="32"/>
          <w:szCs w:val="32"/>
          <w:lang w:eastAsia="zh-CN"/>
        </w:rPr>
        <w:t>腾讯</w:t>
      </w:r>
      <w:r>
        <w:rPr>
          <w:rFonts w:hint="default" w:ascii="Times New Roman" w:hAnsi="Times New Roman" w:eastAsia="仿宋_GB2312" w:cs="Times New Roman"/>
          <w:b/>
          <w:sz w:val="32"/>
          <w:szCs w:val="32"/>
        </w:rPr>
        <w:t>。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1999</w:t>
      </w:r>
      <w:r>
        <w:rPr>
          <w:rFonts w:hint="default" w:ascii="Times New Roman" w:hAnsi="Times New Roman" w:eastAsia="仿宋_GB2312" w:cs="Times New Roman"/>
          <w:sz w:val="32"/>
          <w:lang w:eastAsia="zh-CN"/>
        </w:rPr>
        <w:t>年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11月于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英属维尔京群岛注册成立，2004年2月迁册至英属开曼群岛，2004年6月在香港联交所上市，通过协议控制境内主要运营实体深圳市腾讯计算机系统有限公司。主要业务包括社交和通信服务、社交网络平台、游戏、网络视频服务、互动娱乐直播等</w:t>
      </w:r>
      <w:r>
        <w:rPr>
          <w:rFonts w:hint="eastAsia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2018年全球营业额为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人民币（币种下同），中国境内营业额为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41"/>
        <w:textAlignment w:val="auto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sz w:val="32"/>
        </w:rPr>
        <w:t>被收购方：</w:t>
      </w:r>
      <w:r>
        <w:rPr>
          <w:rFonts w:hint="default" w:ascii="Times New Roman" w:hAnsi="Times New Roman" w:eastAsia="仿宋_GB2312" w:cs="Times New Roman"/>
          <w:b/>
          <w:bCs/>
          <w:sz w:val="32"/>
        </w:rPr>
        <w:t>念念分享</w:t>
      </w:r>
      <w:r>
        <w:rPr>
          <w:rFonts w:hint="default" w:ascii="Times New Roman" w:hAnsi="Times New Roman" w:eastAsia="仿宋_GB2312" w:cs="Times New Roman"/>
          <w:sz w:val="32"/>
        </w:rPr>
        <w:t>。2016年于中国北京市注册成立，由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eastAsia" w:ascii="Times New Roman" w:hAnsi="Times New Roman" w:eastAsia="仿宋_GB2312" w:cs="Times New Roman"/>
          <w:sz w:val="32"/>
          <w:lang w:eastAsia="zh-CN"/>
        </w:rPr>
        <w:t>共同控制</w:t>
      </w:r>
      <w:r>
        <w:rPr>
          <w:rFonts w:hint="default" w:ascii="Times New Roman" w:hAnsi="Times New Roman" w:eastAsia="仿宋_GB2312" w:cs="Times New Roman"/>
          <w:sz w:val="32"/>
        </w:rPr>
        <w:t>，主要从事</w:t>
      </w:r>
      <w:r>
        <w:rPr>
          <w:rFonts w:hint="eastAsia" w:ascii="Times New Roman" w:hAnsi="Times New Roman" w:eastAsia="仿宋_GB2312" w:cs="Times New Roman"/>
          <w:sz w:val="32"/>
          <w:lang w:eastAsia="zh-CN"/>
        </w:rPr>
        <w:t>即时配送</w:t>
      </w:r>
      <w:r>
        <w:rPr>
          <w:rFonts w:hint="default" w:ascii="Times New Roman" w:hAnsi="Times New Roman" w:eastAsia="仿宋_GB2312" w:cs="Times New Roman"/>
          <w:sz w:val="32"/>
        </w:rPr>
        <w:t>业务，2018年全球和中国境内营业额均为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。</w:t>
      </w:r>
    </w:p>
    <w:p>
      <w:pPr>
        <w:pStyle w:val="9"/>
        <w:spacing w:line="594" w:lineRule="exact"/>
        <w:ind w:firstLine="641"/>
        <w:rPr>
          <w:rFonts w:hint="eastAsia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</w:rPr>
        <w:t>其他参与集中的经营者：杭州经纬</w:t>
      </w:r>
      <w:r>
        <w:rPr>
          <w:rFonts w:hint="default" w:ascii="Times New Roman" w:hAnsi="Times New Roman" w:eastAsia="仿宋_GB2312" w:cs="Times New Roman"/>
          <w:sz w:val="32"/>
        </w:rPr>
        <w:t>。2016年于中国浙江省杭州市注册成立</w:t>
      </w:r>
      <w:r>
        <w:rPr>
          <w:rFonts w:hint="eastAsia" w:ascii="Times New Roman" w:hAnsi="Times New Roman" w:eastAsia="仿宋_GB2312" w:cs="Times New Roman"/>
          <w:sz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</w:rPr>
        <w:t>最终控制人为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eastAsia" w:ascii="Times New Roman" w:hAnsi="Times New Roman" w:eastAsia="仿宋_GB2312" w:cs="Times New Roman"/>
          <w:sz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</w:rPr>
        <w:t>主要从事中国境内的投资业务</w:t>
      </w:r>
      <w:r>
        <w:rPr>
          <w:rFonts w:hint="eastAsia" w:ascii="Times New Roman" w:hAnsi="Times New Roman" w:cs="Times New Roman"/>
          <w:sz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</w:rPr>
        <w:t>2018年全球和中国境内营业额均为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（二）交易概况。</w:t>
      </w:r>
    </w:p>
    <w:p>
      <w:pPr>
        <w:pStyle w:val="9"/>
        <w:spacing w:line="240" w:lineRule="auto"/>
        <w:ind w:firstLine="640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  <w:lang w:eastAsia="zh-CN"/>
        </w:rPr>
        <w:t>该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交易系</w:t>
      </w:r>
      <w:r>
        <w:rPr>
          <w:rFonts w:hint="eastAsia" w:ascii="Times New Roman" w:hAnsi="Times New Roman" w:cs="Times New Roman"/>
          <w:color w:val="auto"/>
          <w:sz w:val="32"/>
          <w:szCs w:val="32"/>
          <w:lang w:val="en-US" w:eastAsia="zh-CN"/>
        </w:rPr>
        <w:t>股权收购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2019年10月，腾讯通过林芝利创信息技术有限公司与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、念念分享</w:t>
      </w:r>
      <w:r>
        <w:rPr>
          <w:rFonts w:hint="eastAsia" w:ascii="Times New Roman" w:hAnsi="Times New Roman" w:cs="Times New Roman"/>
          <w:sz w:val="32"/>
          <w:szCs w:val="32"/>
          <w:lang w:eastAsia="zh-CN"/>
        </w:rPr>
        <w:t>、杭州经纬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签订增资协议，收购念念分享15%的股权，并取得控制权。2019年11月27日，本次交易完成股权变更登记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二、违法事实及理由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（一）本案构成</w:t>
      </w: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  <w:lang w:eastAsia="zh-CN"/>
        </w:rPr>
        <w:t>未依法申报</w:t>
      </w: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违法实施的经营者集中。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28" w:firstLineChars="200"/>
        <w:jc w:val="both"/>
        <w:textAlignment w:val="auto"/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</w:rPr>
        <w:t>《反垄断法》第二十条规定“经营者集中是指下列情形：（一）经营者合并；（二）经营者通过取得股权或者资产的方式取得对其他经营者的控制权；（三）经营者通过合同等方式取得</w:t>
      </w:r>
      <w:r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对其他经营者的控制权或者能够对其他经营者施加决定性影响”。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2019年10月，腾讯收购念念分享15%的股权。根据增资协议与公司章程，腾讯</w:t>
      </w:r>
      <w:r>
        <w:rPr>
          <w:rFonts w:hint="eastAsia" w:eastAsia="仿宋_GB2312" w:cs="Times New Roman"/>
          <w:sz w:val="32"/>
          <w:szCs w:val="32"/>
          <w:lang w:eastAsia="zh-CN"/>
        </w:rPr>
        <w:t>取得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念念分享</w:t>
      </w:r>
      <w:r>
        <w:rPr>
          <w:rFonts w:hint="eastAsia" w:eastAsia="仿宋_GB2312" w:cs="Times New Roman"/>
          <w:sz w:val="32"/>
          <w:szCs w:val="32"/>
          <w:lang w:eastAsia="zh-CN"/>
        </w:rPr>
        <w:t>的共同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控制权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bCs/>
          <w:sz w:val="32"/>
          <w:szCs w:val="36"/>
          <w:lang w:eastAsia="zh-CN"/>
        </w:rPr>
        <w:t>属于《反垄断法》第二十条规定的经营者集中。</w:t>
      </w:r>
    </w:p>
    <w:p>
      <w:pPr>
        <w:pStyle w:val="5"/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before="0" w:beforeAutospacing="0" w:after="0" w:afterAutospacing="0" w:line="594" w:lineRule="exact"/>
        <w:ind w:firstLine="628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u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2018年度，腾讯全球营业额为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，中国境内营业额为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</w:rPr>
        <w:t>；</w:t>
      </w:r>
      <w:r>
        <w:rPr>
          <w:rFonts w:hint="eastAsia" w:ascii="Times New Roman" w:hAnsi="Times New Roman" w:eastAsia="仿宋_GB2312" w:cs="Times New Roman"/>
          <w:sz w:val="32"/>
          <w:lang w:eastAsia="zh-CN"/>
        </w:rPr>
        <w:t>杭州经纬</w:t>
      </w:r>
      <w:r>
        <w:rPr>
          <w:rFonts w:hint="default" w:ascii="Times New Roman" w:hAnsi="Times New Roman" w:eastAsia="仿宋_GB2312" w:cs="Times New Roman"/>
          <w:sz w:val="32"/>
        </w:rPr>
        <w:t>全球和中国境内营业额均为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b w:val="0"/>
          <w:bCs/>
          <w:kern w:val="2"/>
          <w:sz w:val="32"/>
          <w:szCs w:val="32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u w:val="none"/>
          <w:lang w:val="en-US" w:eastAsia="zh-CN" w:bidi="ar-SA"/>
        </w:rPr>
        <w:t>达到《国务院关于经营者集中申报标准的规定》第三条规定的申报标准，属于应当申报的情形。</w:t>
      </w:r>
    </w:p>
    <w:p>
      <w:pPr>
        <w:pStyle w:val="5"/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before="0" w:beforeAutospacing="0" w:after="0" w:afterAutospacing="0" w:line="594" w:lineRule="exact"/>
        <w:ind w:firstLine="628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《反垄断法》第二十一条规定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“经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营者集中达到国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u w:val="none"/>
          <w:lang w:val="en-US" w:eastAsia="zh-CN" w:bidi="ar-SA"/>
        </w:rPr>
        <w:t>务院规定的申报标准的，经营者应当事先向国务院反垄断执法机构申报，未申报的不得实施集中”。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2019年11月27日</w:t>
      </w: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，本次交易完成股权变更登记</w:t>
      </w:r>
      <w:r>
        <w:rPr>
          <w:rFonts w:hint="default" w:ascii="Times New Roman" w:hAnsi="Times New Roman" w:eastAsia="仿宋_GB2312" w:cs="Times New Roman"/>
          <w:bCs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u w:val="none"/>
          <w:lang w:val="en-US" w:eastAsia="zh-CN" w:bidi="ar-SA"/>
        </w:rPr>
        <w:t>在此之前未依法申报，违反《反垄断法》第二十一条，构成违法实施</w:t>
      </w:r>
      <w:r>
        <w:rPr>
          <w:rFonts w:hint="eastAsia" w:ascii="Times New Roman" w:hAnsi="Times New Roman" w:eastAsia="仿宋_GB2312" w:cs="Times New Roman"/>
          <w:bCs/>
          <w:kern w:val="2"/>
          <w:sz w:val="32"/>
          <w:szCs w:val="32"/>
          <w:u w:val="none"/>
          <w:lang w:val="en-US" w:eastAsia="zh-CN" w:bidi="ar-SA"/>
        </w:rPr>
        <w:t>的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经营者集中。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（二）本案不具有排除、限制竞争的效果。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28" w:firstLineChars="200"/>
        <w:textAlignment w:val="auto"/>
        <w:outlineLvl w:val="0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本机关就</w:t>
      </w:r>
      <w:r>
        <w:rPr>
          <w:rFonts w:hint="eastAsia" w:ascii="Times New Roman" w:hAnsi="Times New Roman" w:eastAsia="仿宋_GB2312" w:cs="Times New Roman"/>
          <w:b w:val="0"/>
          <w:bCs w:val="0"/>
          <w:kern w:val="2"/>
          <w:sz w:val="32"/>
          <w:szCs w:val="32"/>
          <w:lang w:val="en-US" w:eastAsia="zh-CN" w:bidi="ar-SA"/>
        </w:rPr>
        <w:t>腾讯收购念念分享股权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对市场竞争的影响进行了评估，评估认为，该项经营者集中不会产生排除、限制竞争的效果。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三、行政处罚依据和决定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16" w:firstLineChars="196"/>
        <w:textAlignment w:val="auto"/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《反垄断法》第四十八条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规定“经营者违反本法规定实施集中的，由国务院反垄断执法机构责令停止实施集中、限期处分股份或者资产、限期转让营业以及采取其他必要措施恢复到集中前的状态，可以处五十万元以下的罚款”。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《反垄断法》第四十九条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规定“对本法第四十六条、第四十七条、第四十八条规定的罚款，反垄断执法机构确定具体罚款数额时，应当考虑违法行为的性质、程度和持续的时间等因素”。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根据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上述规定，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基于调查情况和评估结论，本机关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决定给予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lang w:val="en-US" w:eastAsia="zh-CN" w:bidi="ar-SA"/>
        </w:rPr>
        <w:t>腾讯</w:t>
      </w:r>
      <w:r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0万元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罚款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的行政处罚。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《行政处罚法》第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六十七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条规定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“作出罚款决定的行政机关应当与收缴罚款的机构分离。除依照本法第六十八条、第六十九条的规定当场收缴的罚款外，作出行政处罚决定的行政机关及其执法人员不得自行收缴罚款。当事人应当自收到行政处罚决定书之日起十五日内，到指定的银行或者通过电子支付系统缴纳罚款。银行应当收受罚款，并将罚款直接上缴国库”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应当自收到本行政处罚决定书之日起十五日内，携缴款码到1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家中央财政非税收入收缴代理银行（工、农、中、建、交、中信、光大、招商、邮储、华夏、平安、兴业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、民生、广发、浙商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）任一银行网点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网上银行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缴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纳罚款。缴款码：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 xml:space="preserve">如对上述行政处罚决定不服，可以自收到本行政处罚决定书之日起六十日内，向国家市场监督管理总局申请行政复议；或者自收到本行政处罚决定书之日起六个月内，依法向人民法院提起行政诉讼。行政复议或者行政诉讼期间，本行政处罚决定不停止执行。 </w:t>
      </w:r>
    </w:p>
    <w:p>
      <w:pPr>
        <w:pStyle w:val="3"/>
        <w:keepNext w:val="0"/>
        <w:keepLines w:val="0"/>
        <w:pageBreakBefore w:val="0"/>
        <w:widowControl w:val="0"/>
        <w:kinsoku/>
        <w:wordWrap/>
        <w:topLinePunct w:val="0"/>
        <w:bidi w:val="0"/>
        <w:spacing w:after="0" w:line="594" w:lineRule="exact"/>
        <w:textAlignment w:val="auto"/>
        <w:rPr>
          <w:rFonts w:hint="default" w:ascii="Times New Roman" w:hAnsi="Times New Roman" w:cs="Times New Roman"/>
          <w:color w:val="auto"/>
        </w:rPr>
      </w:pP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 w:val="0"/>
        <w:spacing w:line="594" w:lineRule="exact"/>
        <w:ind w:firstLine="5433" w:firstLineChars="173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市场监管总局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 w:val="0"/>
        <w:spacing w:line="594" w:lineRule="exact"/>
        <w:ind w:firstLine="5225" w:firstLineChars="1664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202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年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1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月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31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28" w:firstLineChars="200"/>
        <w:textAlignment w:val="auto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（此件公开发布）</w:t>
      </w:r>
    </w:p>
    <w:sectPr>
      <w:footerReference r:id="rId3" w:type="default"/>
      <w:footerReference r:id="rId4" w:type="even"/>
      <w:pgSz w:w="11906" w:h="16838"/>
      <w:pgMar w:top="1440" w:right="1803" w:bottom="1440" w:left="1803" w:header="851" w:footer="1814" w:gutter="0"/>
      <w:cols w:space="0" w:num="1"/>
      <w:rtlGutter w:val="0"/>
      <w:docGrid w:type="linesAndChars" w:linePitch="290" w:charSpace="-1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FangSong_GB2312">
    <w:altName w:val="仿宋_GB2312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ind w:left="315" w:leftChars="150" w:right="315" w:rightChars="150"/>
      <w:rPr>
        <w:rStyle w:val="8"/>
        <w:rFonts w:hint="eastAsia" w:ascii="宋体" w:hAnsi="宋体"/>
        <w:sz w:val="28"/>
        <w:szCs w:val="28"/>
      </w:rPr>
    </w:pPr>
    <w:r>
      <w:rPr>
        <w:rStyle w:val="8"/>
        <w:rFonts w:hint="eastAsia" w:ascii="宋体" w:hAnsi="宋体"/>
        <w:sz w:val="28"/>
        <w:szCs w:val="28"/>
      </w:rPr>
      <w:t xml:space="preserve">— </w:t>
    </w:r>
    <w:r>
      <w:rPr>
        <w:rStyle w:val="8"/>
        <w:rFonts w:ascii="宋体" w:hAnsi="宋体"/>
        <w:sz w:val="28"/>
        <w:szCs w:val="28"/>
      </w:rPr>
      <w:fldChar w:fldCharType="begin"/>
    </w:r>
    <w:r>
      <w:rPr>
        <w:rStyle w:val="8"/>
        <w:rFonts w:ascii="宋体" w:hAnsi="宋体"/>
        <w:sz w:val="28"/>
        <w:szCs w:val="28"/>
      </w:rPr>
      <w:instrText xml:space="preserve">PAGE  </w:instrText>
    </w:r>
    <w:r>
      <w:rPr>
        <w:rStyle w:val="8"/>
        <w:rFonts w:ascii="宋体" w:hAnsi="宋体"/>
        <w:sz w:val="28"/>
        <w:szCs w:val="28"/>
      </w:rPr>
      <w:fldChar w:fldCharType="separate"/>
    </w:r>
    <w:r>
      <w:rPr>
        <w:rStyle w:val="8"/>
        <w:rFonts w:ascii="宋体" w:hAnsi="宋体"/>
        <w:sz w:val="28"/>
        <w:szCs w:val="28"/>
      </w:rPr>
      <w:t>1</w:t>
    </w:r>
    <w:r>
      <w:rPr>
        <w:rStyle w:val="8"/>
        <w:rFonts w:ascii="宋体" w:hAnsi="宋体"/>
        <w:sz w:val="28"/>
        <w:szCs w:val="28"/>
      </w:rPr>
      <w:fldChar w:fldCharType="end"/>
    </w:r>
    <w:r>
      <w:rPr>
        <w:rStyle w:val="8"/>
        <w:rFonts w:hint="eastAsia" w:ascii="宋体" w:hAnsi="宋体"/>
        <w:sz w:val="28"/>
        <w:szCs w:val="28"/>
      </w:rPr>
      <w:t xml:space="preserve"> —</w:t>
    </w:r>
  </w:p>
  <w:p>
    <w:pPr>
      <w:pStyle w:val="4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>
    <w:pPr>
      <w:pStyle w:val="4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4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3570B1"/>
    <w:rsid w:val="0023200C"/>
    <w:rsid w:val="02A63857"/>
    <w:rsid w:val="04772CCF"/>
    <w:rsid w:val="05D15580"/>
    <w:rsid w:val="06C5506E"/>
    <w:rsid w:val="06DB7938"/>
    <w:rsid w:val="075F674C"/>
    <w:rsid w:val="09AC08F5"/>
    <w:rsid w:val="09AD7C5E"/>
    <w:rsid w:val="13F85EFD"/>
    <w:rsid w:val="16657401"/>
    <w:rsid w:val="169767E4"/>
    <w:rsid w:val="173B2FCB"/>
    <w:rsid w:val="18DB1E51"/>
    <w:rsid w:val="192053EE"/>
    <w:rsid w:val="1A156921"/>
    <w:rsid w:val="1B095395"/>
    <w:rsid w:val="1C11264C"/>
    <w:rsid w:val="1D3570B1"/>
    <w:rsid w:val="1ED67F29"/>
    <w:rsid w:val="1F573D93"/>
    <w:rsid w:val="21623065"/>
    <w:rsid w:val="21A54411"/>
    <w:rsid w:val="230C79BC"/>
    <w:rsid w:val="239A0124"/>
    <w:rsid w:val="265326DA"/>
    <w:rsid w:val="28C8606C"/>
    <w:rsid w:val="29171A1E"/>
    <w:rsid w:val="2A7A6DC6"/>
    <w:rsid w:val="2B0F6D0F"/>
    <w:rsid w:val="2D814FB9"/>
    <w:rsid w:val="31E778A8"/>
    <w:rsid w:val="33684C36"/>
    <w:rsid w:val="33B94AAA"/>
    <w:rsid w:val="33E16394"/>
    <w:rsid w:val="38043EF0"/>
    <w:rsid w:val="39E75B24"/>
    <w:rsid w:val="3D086E74"/>
    <w:rsid w:val="3FAD2E94"/>
    <w:rsid w:val="4297136E"/>
    <w:rsid w:val="43B84B68"/>
    <w:rsid w:val="44254D4E"/>
    <w:rsid w:val="44F1186A"/>
    <w:rsid w:val="48A63464"/>
    <w:rsid w:val="49513DE5"/>
    <w:rsid w:val="49F75885"/>
    <w:rsid w:val="4ABC40B8"/>
    <w:rsid w:val="4EF957B9"/>
    <w:rsid w:val="4EFD73AF"/>
    <w:rsid w:val="50C55BC3"/>
    <w:rsid w:val="51057FEF"/>
    <w:rsid w:val="51075873"/>
    <w:rsid w:val="52A77C54"/>
    <w:rsid w:val="546005C8"/>
    <w:rsid w:val="56EA563C"/>
    <w:rsid w:val="5A3853F1"/>
    <w:rsid w:val="5B1D24D8"/>
    <w:rsid w:val="5BDD2331"/>
    <w:rsid w:val="5C686AC3"/>
    <w:rsid w:val="5D4E6DD5"/>
    <w:rsid w:val="614345F8"/>
    <w:rsid w:val="630535E1"/>
    <w:rsid w:val="63432760"/>
    <w:rsid w:val="640E6FE8"/>
    <w:rsid w:val="6417400B"/>
    <w:rsid w:val="68197930"/>
    <w:rsid w:val="686D740E"/>
    <w:rsid w:val="6A564164"/>
    <w:rsid w:val="6F712D0C"/>
    <w:rsid w:val="7073388E"/>
    <w:rsid w:val="74782380"/>
    <w:rsid w:val="799C3559"/>
    <w:rsid w:val="7A782B89"/>
    <w:rsid w:val="7CE345AA"/>
    <w:rsid w:val="7D641176"/>
    <w:rsid w:val="FBDFF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spacing w:line="360" w:lineRule="exact"/>
      <w:ind w:firstLine="420" w:firstLineChars="200"/>
    </w:pPr>
    <w:rPr>
      <w:szCs w:val="20"/>
    </w:rPr>
  </w:style>
  <w:style w:type="paragraph" w:styleId="3">
    <w:name w:val="Body Text"/>
    <w:basedOn w:val="1"/>
    <w:unhideWhenUsed/>
    <w:qFormat/>
    <w:uiPriority w:val="0"/>
    <w:pPr>
      <w:spacing w:after="120"/>
    </w:pPr>
    <w:rPr>
      <w:rFonts w:ascii="Calibri" w:hAnsi="Calibri" w:eastAsia="宋体" w:cs="Times New Roman"/>
      <w:szCs w:val="22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page number"/>
    <w:basedOn w:val="7"/>
    <w:qFormat/>
    <w:uiPriority w:val="0"/>
  </w:style>
  <w:style w:type="paragraph" w:customStyle="1" w:styleId="9">
    <w:name w:val="内容"/>
    <w:basedOn w:val="1"/>
    <w:qFormat/>
    <w:uiPriority w:val="0"/>
    <w:pPr>
      <w:suppressAutoHyphens/>
      <w:overflowPunct w:val="0"/>
      <w:autoSpaceDE w:val="0"/>
      <w:autoSpaceDN w:val="0"/>
      <w:adjustRightInd w:val="0"/>
      <w:spacing w:line="360" w:lineRule="auto"/>
      <w:ind w:firstLine="200" w:firstLineChars="200"/>
    </w:pPr>
    <w:rPr>
      <w:rFonts w:ascii="仿宋_GB2312" w:hAnsi="仿宋_GB2312" w:eastAsia="仿宋_GB231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2020-12-10T10:26:00Z</dcterms:created>
  <dc:creator>徐霄飞</dc:creator>
  <cp:lastModifiedBy>张宝成</cp:lastModifiedBy>
  <cp:lastPrinted>2021-07-02T14:21:00Z</cp:lastPrinted>
  <dcterms:modified xsi:type="dcterms:W3CDTF">2021-12-31T09:01:59Z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