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jc w:val="center"/>
        <w:textAlignment w:val="auto"/>
        <w:rPr>
          <w:rFonts w:hint="default" w:ascii="Times New Roman" w:hAnsi="Times New Roman" w:eastAsia="黑体" w:cs="Times New Roman"/>
          <w:bCs/>
          <w:color w:val="auto"/>
          <w:kern w:val="2"/>
          <w:sz w:val="52"/>
          <w:szCs w:val="52"/>
        </w:rPr>
      </w:pPr>
      <w:r>
        <w:rPr>
          <w:rFonts w:hint="default" w:ascii="Times New Roman" w:hAnsi="Times New Roman" w:eastAsia="黑体" w:cs="Times New Roman"/>
          <w:bCs/>
          <w:color w:val="auto"/>
          <w:spacing w:val="30"/>
          <w:kern w:val="0"/>
          <w:sz w:val="52"/>
          <w:szCs w:val="52"/>
          <w:fitText w:val="5742" w:id="434980390"/>
        </w:rPr>
        <w:t>国家市场监督管理总</w:t>
      </w:r>
      <w:r>
        <w:rPr>
          <w:rFonts w:hint="default" w:ascii="Times New Roman" w:hAnsi="Times New Roman" w:eastAsia="黑体" w:cs="Times New Roman"/>
          <w:bCs/>
          <w:color w:val="auto"/>
          <w:spacing w:val="1"/>
          <w:kern w:val="0"/>
          <w:sz w:val="52"/>
          <w:szCs w:val="52"/>
          <w:fitText w:val="5742" w:id="434980390"/>
        </w:rPr>
        <w:t>局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jc w:val="center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44"/>
          <w:szCs w:val="44"/>
        </w:rPr>
      </w:pPr>
      <w:r>
        <w:rPr>
          <w:rFonts w:hint="default" w:ascii="Times New Roman" w:hAnsi="Times New Roman" w:eastAsia="黑体" w:cs="Times New Roman"/>
          <w:bCs/>
          <w:color w:val="auto"/>
          <w:spacing w:val="175"/>
          <w:kern w:val="0"/>
          <w:sz w:val="52"/>
          <w:szCs w:val="52"/>
          <w:fitText w:val="5742" w:id="1"/>
        </w:rPr>
        <w:t>行政处罚决定</w:t>
      </w:r>
      <w:r>
        <w:rPr>
          <w:rFonts w:hint="default" w:ascii="Times New Roman" w:hAnsi="Times New Roman" w:eastAsia="黑体" w:cs="Times New Roman"/>
          <w:bCs/>
          <w:color w:val="auto"/>
          <w:spacing w:val="1"/>
          <w:kern w:val="0"/>
          <w:sz w:val="52"/>
          <w:szCs w:val="52"/>
          <w:fitText w:val="5742" w:id="1"/>
        </w:rPr>
        <w:t>书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napToGrid/>
        <w:spacing w:line="594" w:lineRule="exact"/>
        <w:jc w:val="center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国市监处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/>
        </w:rPr>
        <w:t>罚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〔202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/>
        </w:rPr>
        <w:t>1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〕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/>
        </w:rPr>
        <w:t>132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号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napToGrid/>
        <w:spacing w:line="594" w:lineRule="exact"/>
        <w:jc w:val="center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94" w:lineRule="exact"/>
        <w:ind w:firstLine="628" w:firstLineChars="200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>当事人：</w:t>
      </w:r>
      <w:r>
        <w:rPr>
          <w:rFonts w:hint="default" w:ascii="Times New Roman" w:hAnsi="Times New Roman" w:eastAsia="仿宋_GB2312" w:cs="Times New Roman"/>
          <w:color w:val="auto"/>
          <w:sz w:val="32"/>
          <w:szCs w:val="36"/>
          <w:lang w:eastAsia="zh-CN"/>
        </w:rPr>
        <w:t>腾讯控股</w:t>
      </w:r>
      <w:r>
        <w:rPr>
          <w:rFonts w:hint="default" w:ascii="Times New Roman" w:hAnsi="Times New Roman" w:eastAsia="仿宋_GB2312" w:cs="Times New Roman"/>
          <w:color w:val="auto"/>
          <w:sz w:val="32"/>
          <w:szCs w:val="36"/>
        </w:rPr>
        <w:t>有限公司</w:t>
      </w:r>
      <w:r>
        <w:rPr>
          <w:rFonts w:hint="default" w:ascii="Times New Roman" w:hAnsi="Times New Roman" w:eastAsia="仿宋_GB2312" w:cs="Times New Roman"/>
          <w:color w:val="auto"/>
          <w:sz w:val="32"/>
          <w:szCs w:val="36"/>
          <w:lang w:eastAsia="zh-CN"/>
        </w:rPr>
        <w:t>（</w:t>
      </w:r>
      <w:r>
        <w:rPr>
          <w:rFonts w:hint="default" w:ascii="Times New Roman" w:hAnsi="Times New Roman" w:eastAsia="仿宋_GB2312" w:cs="Times New Roman"/>
          <w:color w:val="auto"/>
          <w:sz w:val="32"/>
          <w:szCs w:val="36"/>
          <w:lang w:val="en-US" w:eastAsia="zh-CN"/>
        </w:rPr>
        <w:t>Tencent Holdings Limited</w:t>
      </w:r>
      <w:r>
        <w:rPr>
          <w:rFonts w:hint="default" w:ascii="Times New Roman" w:hAnsi="Times New Roman" w:eastAsia="仿宋_GB2312" w:cs="Times New Roman"/>
          <w:color w:val="auto"/>
          <w:sz w:val="32"/>
          <w:szCs w:val="36"/>
          <w:lang w:eastAsia="zh-CN"/>
        </w:rPr>
        <w:t>）</w:t>
      </w:r>
    </w:p>
    <w:p>
      <w:pPr>
        <w:pStyle w:val="3"/>
        <w:keepNext w:val="0"/>
        <w:keepLines w:val="0"/>
        <w:pageBreakBefore w:val="0"/>
        <w:widowControl w:val="0"/>
        <w:kinsoku/>
        <w:wordWrap/>
        <w:topLinePunct w:val="0"/>
        <w:bidi w:val="0"/>
        <w:snapToGrid/>
        <w:spacing w:after="0" w:line="594" w:lineRule="exact"/>
        <w:ind w:firstLine="628" w:firstLineChars="200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>住 所：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-SA"/>
        </w:rPr>
        <w:t>开曼群岛哈金斯大道克里奇广场2681邮箱（Cricket Square Hutchins Drive P.O.Box 2681 Grand Cayman KYI-1111 Cayman Islands)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94" w:lineRule="exact"/>
        <w:ind w:firstLine="628" w:firstLineChars="200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>当事人：</w:t>
      </w:r>
      <w:r>
        <w:rPr>
          <w:rFonts w:hint="eastAsia" w:ascii="Times New Roman" w:hAnsi="Times New Roman" w:eastAsia="仿宋_GB2312" w:cs="Times New Roman"/>
          <w:sz w:val="32"/>
          <w:szCs w:val="36"/>
          <w:lang w:val="en-US" w:eastAsia="zh-CN"/>
        </w:rPr>
        <w:t>深圳市红杉煜辰股权投资合伙企业（有限合伙）</w:t>
      </w:r>
    </w:p>
    <w:p>
      <w:pPr>
        <w:pStyle w:val="3"/>
        <w:keepNext w:val="0"/>
        <w:keepLines w:val="0"/>
        <w:pageBreakBefore w:val="0"/>
        <w:widowControl w:val="0"/>
        <w:kinsoku/>
        <w:wordWrap/>
        <w:topLinePunct w:val="0"/>
        <w:bidi w:val="0"/>
        <w:snapToGrid/>
        <w:spacing w:after="0" w:line="594" w:lineRule="exact"/>
        <w:ind w:firstLine="628" w:firstLineChars="200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 xml:space="preserve">住 </w:t>
      </w:r>
      <w:r>
        <w:rPr>
          <w:rFonts w:hint="eastAsia" w:ascii="Times New Roman" w:hAnsi="Times New Roman" w:eastAsia="黑体" w:cs="Times New Roman"/>
          <w:color w:val="auto"/>
          <w:kern w:val="2"/>
          <w:sz w:val="32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>所：</w:t>
      </w:r>
      <w:r>
        <w:rPr>
          <w:rFonts w:hint="eastAsia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-SA"/>
        </w:rPr>
        <w:t>深圳市龙华区大浪街道浪口社区华霆路58号8栋6层601室</w:t>
      </w:r>
    </w:p>
    <w:p>
      <w:pPr>
        <w:pStyle w:val="3"/>
        <w:keepNext w:val="0"/>
        <w:keepLines w:val="0"/>
        <w:pageBreakBefore w:val="0"/>
        <w:widowControl w:val="0"/>
        <w:kinsoku/>
        <w:wordWrap/>
        <w:topLinePunct w:val="0"/>
        <w:bidi w:val="0"/>
        <w:snapToGrid/>
        <w:spacing w:after="0" w:line="594" w:lineRule="exact"/>
        <w:ind w:firstLine="628" w:firstLineChars="200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94" w:lineRule="exact"/>
        <w:ind w:firstLine="628" w:firstLineChars="200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根据《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中华人民共和国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反垄断法》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（以下简称《反垄断法》）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《经营者集中审查暂行规定》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，本机关于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2021年</w:t>
      </w:r>
      <w:r>
        <w:rPr>
          <w:rFonts w:hint="eastAsia" w:eastAsia="仿宋_GB2312" w:cs="Times New Roman"/>
          <w:color w:val="auto"/>
          <w:sz w:val="32"/>
          <w:szCs w:val="32"/>
          <w:lang w:val="en-US" w:eastAsia="zh-CN"/>
        </w:rPr>
        <w:t>8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月12日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对</w:t>
      </w:r>
      <w:r>
        <w:rPr>
          <w:rFonts w:hint="eastAsia" w:ascii="Times New Roman" w:hAnsi="Times New Roman" w:eastAsia="仿宋_GB2312" w:cs="Times New Roman"/>
          <w:sz w:val="32"/>
          <w:szCs w:val="36"/>
          <w:lang w:val="en-US" w:eastAsia="zh-CN"/>
        </w:rPr>
        <w:t>腾讯控股</w:t>
      </w:r>
      <w:r>
        <w:rPr>
          <w:rFonts w:hint="eastAsia" w:ascii="Times New Roman" w:hAnsi="Times New Roman" w:eastAsia="仿宋_GB2312" w:cs="Times New Roman"/>
          <w:sz w:val="32"/>
          <w:szCs w:val="36"/>
          <w:lang w:eastAsia="zh-CN"/>
        </w:rPr>
        <w:t>有限公司</w:t>
      </w:r>
      <w:r>
        <w:rPr>
          <w:rFonts w:hint="default" w:ascii="Times New Roman" w:hAnsi="Times New Roman" w:eastAsia="仿宋_GB2312" w:cs="Times New Roman"/>
          <w:sz w:val="32"/>
          <w:szCs w:val="36"/>
        </w:rPr>
        <w:t>（以下简称</w:t>
      </w:r>
      <w:r>
        <w:rPr>
          <w:rFonts w:hint="eastAsia" w:ascii="Times New Roman" w:hAnsi="Times New Roman" w:eastAsia="仿宋_GB2312" w:cs="Times New Roman"/>
          <w:sz w:val="32"/>
          <w:szCs w:val="36"/>
          <w:lang w:val="en-US" w:eastAsia="zh-CN"/>
        </w:rPr>
        <w:t>腾讯</w:t>
      </w:r>
      <w:r>
        <w:rPr>
          <w:rFonts w:hint="default" w:ascii="Times New Roman" w:hAnsi="Times New Roman" w:eastAsia="仿宋_GB2312" w:cs="Times New Roman"/>
          <w:sz w:val="32"/>
          <w:szCs w:val="36"/>
        </w:rPr>
        <w:t>）</w:t>
      </w:r>
      <w:r>
        <w:rPr>
          <w:rFonts w:hint="eastAsia" w:ascii="Times New Roman" w:hAnsi="Times New Roman" w:eastAsia="仿宋_GB2312" w:cs="Times New Roman"/>
          <w:sz w:val="32"/>
          <w:szCs w:val="36"/>
          <w:lang w:eastAsia="zh-CN"/>
        </w:rPr>
        <w:t>、</w:t>
      </w:r>
      <w:r>
        <w:rPr>
          <w:rFonts w:hint="eastAsia" w:ascii="Times New Roman" w:hAnsi="Times New Roman" w:eastAsia="仿宋_GB2312" w:cs="Times New Roman"/>
          <w:sz w:val="32"/>
          <w:szCs w:val="36"/>
          <w:lang w:val="en-US" w:eastAsia="zh-CN"/>
        </w:rPr>
        <w:t>深圳市红杉煜辰股权投资合伙企业（有限合伙）（以下简称红杉煜辰）</w:t>
      </w:r>
      <w:r>
        <w:rPr>
          <w:rFonts w:hint="eastAsia" w:ascii="Times New Roman" w:hAnsi="Times New Roman" w:eastAsia="仿宋_GB2312" w:cs="Times New Roman"/>
          <w:sz w:val="32"/>
          <w:szCs w:val="36"/>
          <w:lang w:eastAsia="zh-CN"/>
        </w:rPr>
        <w:t>收购</w:t>
      </w:r>
      <w:r>
        <w:rPr>
          <w:rFonts w:hint="eastAsia" w:ascii="Times New Roman" w:hAnsi="Times New Roman" w:eastAsia="仿宋_GB2312" w:cs="Times New Roman"/>
          <w:sz w:val="32"/>
          <w:szCs w:val="36"/>
          <w:lang w:val="en-US" w:eastAsia="zh-CN"/>
        </w:rPr>
        <w:t>广西叫酒网络科技</w:t>
      </w:r>
      <w:r>
        <w:rPr>
          <w:rFonts w:hint="eastAsia" w:ascii="Times New Roman" w:hAnsi="Times New Roman" w:eastAsia="仿宋_GB2312" w:cs="Times New Roman"/>
          <w:sz w:val="32"/>
          <w:szCs w:val="36"/>
          <w:lang w:eastAsia="zh-CN"/>
        </w:rPr>
        <w:t>有限公司（以下简称</w:t>
      </w:r>
      <w:r>
        <w:rPr>
          <w:rFonts w:hint="eastAsia" w:ascii="Times New Roman" w:hAnsi="Times New Roman" w:eastAsia="仿宋_GB2312" w:cs="Times New Roman"/>
          <w:sz w:val="32"/>
          <w:szCs w:val="36"/>
          <w:lang w:val="en-US" w:eastAsia="zh-CN"/>
        </w:rPr>
        <w:t>酒小二</w:t>
      </w:r>
      <w:r>
        <w:rPr>
          <w:rFonts w:hint="eastAsia" w:ascii="Times New Roman" w:hAnsi="Times New Roman" w:eastAsia="仿宋_GB2312" w:cs="Times New Roman"/>
          <w:sz w:val="32"/>
          <w:szCs w:val="36"/>
          <w:lang w:eastAsia="zh-CN"/>
        </w:rPr>
        <w:t>）股权</w:t>
      </w:r>
      <w:r>
        <w:rPr>
          <w:rFonts w:hint="default" w:ascii="Times New Roman" w:hAnsi="Times New Roman" w:eastAsia="仿宋_GB2312" w:cs="Times New Roman"/>
          <w:color w:val="auto"/>
          <w:sz w:val="32"/>
          <w:lang w:val="en-US" w:eastAsia="zh-CN"/>
        </w:rPr>
        <w:t>涉嫌未依法申报违法实施经营者集中案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进行立案调查。</w:t>
      </w:r>
    </w:p>
    <w:p>
      <w:pPr>
        <w:keepNext w:val="0"/>
        <w:keepLines w:val="0"/>
        <w:pageBreakBefore w:val="0"/>
        <w:widowControl w:val="0"/>
        <w:suppressLineNumbers w:val="0"/>
        <w:suppressAutoHyphens/>
        <w:kinsoku/>
        <w:wordWrap/>
        <w:overflowPunct w:val="0"/>
        <w:topLinePunct w:val="0"/>
        <w:bidi w:val="0"/>
        <w:adjustRightInd w:val="0"/>
        <w:snapToGrid/>
        <w:spacing w:before="0" w:beforeAutospacing="0" w:afterAutospacing="0" w:line="594" w:lineRule="exact"/>
        <w:ind w:left="0" w:right="0" w:firstLine="628" w:firstLineChars="200"/>
        <w:jc w:val="left"/>
        <w:textAlignment w:val="auto"/>
        <w:outlineLvl w:val="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经查，该案构成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未依法申报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违法实施经营者集中，但不具有排除、限制竞争的效果。本机关按照《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中华人民共和国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行政处罚法》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（以下简称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《行政处罚法》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）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的规定，向</w:t>
      </w:r>
      <w:r>
        <w:rPr>
          <w:rFonts w:hint="eastAsia" w:eastAsia="仿宋_GB2312" w:cs="Times New Roman"/>
          <w:color w:val="auto"/>
          <w:sz w:val="32"/>
          <w:szCs w:val="32"/>
          <w:lang w:val="en-US" w:eastAsia="zh-CN"/>
        </w:rPr>
        <w:t>腾讯、红杉煜辰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送达了《行政处罚告知书》，告知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当事人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拟作出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的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行政处罚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内容及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事实、理由、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依据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，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并告知当事人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依法享有的陈述、申辩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要求听证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的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权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利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。</w:t>
      </w:r>
      <w:r>
        <w:rPr>
          <w:rFonts w:hint="eastAsia" w:eastAsia="仿宋_GB2312" w:cs="Times New Roman"/>
          <w:color w:val="auto"/>
          <w:sz w:val="32"/>
          <w:szCs w:val="32"/>
          <w:lang w:val="en-US" w:eastAsia="zh-CN"/>
        </w:rPr>
        <w:t>腾讯、红杉煜辰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 w:bidi="ar"/>
        </w:rPr>
        <w:t>书面来函放弃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"/>
        </w:rPr>
        <w:t>陈述、申辩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 w:bidi="ar"/>
        </w:rPr>
        <w:t>和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"/>
        </w:rPr>
        <w:t>要求听证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 w:bidi="ar"/>
        </w:rPr>
        <w:t>的权利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"/>
        </w:rPr>
        <w:t>。本案现已调查、审理终结。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94" w:lineRule="exact"/>
        <w:ind w:firstLine="628" w:firstLineChars="200"/>
        <w:textAlignment w:val="auto"/>
        <w:outlineLvl w:val="9"/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>一、基本情况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  <w:t>（一）交易方。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b/>
          <w:bCs/>
          <w:color w:val="000000" w:themeColor="text1"/>
          <w:sz w:val="32"/>
          <w:lang w:eastAsia="zh-CN"/>
          <w14:textFill>
            <w14:solidFill>
              <w14:schemeClr w14:val="tx1"/>
            </w14:solidFill>
          </w14:textFill>
        </w:rPr>
        <w:t>收购方</w:t>
      </w:r>
      <w:r>
        <w:rPr>
          <w:rFonts w:hint="eastAsia" w:ascii="Times New Roman" w:hAnsi="Times New Roman" w:eastAsia="仿宋_GB2312" w:cs="Times New Roman"/>
          <w:b/>
          <w:bCs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一</w:t>
      </w:r>
      <w:r>
        <w:rPr>
          <w:rFonts w:hint="default" w:ascii="Times New Roman" w:hAnsi="Times New Roman" w:eastAsia="仿宋_GB2312" w:cs="Times New Roman"/>
          <w:b/>
          <w:bCs/>
          <w:color w:val="000000" w:themeColor="text1"/>
          <w:sz w:val="32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Times New Roman" w:hAnsi="Times New Roman" w:eastAsia="仿宋_GB2312" w:cs="Times New Roman"/>
          <w:b/>
          <w:bCs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腾讯</w:t>
      </w:r>
      <w:r>
        <w:rPr>
          <w:rFonts w:hint="default" w:ascii="Times New Roman" w:hAnsi="Times New Roman" w:eastAsia="仿宋_GB2312" w:cs="Times New Roman"/>
          <w:b/>
          <w:bCs/>
          <w:color w:val="000000" w:themeColor="text1"/>
          <w:sz w:val="32"/>
          <w14:textFill>
            <w14:solidFill>
              <w14:schemeClr w14:val="tx1"/>
            </w14:solidFill>
          </w14:textFill>
        </w:rPr>
        <w:t>。</w:t>
      </w: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>1999</w:t>
      </w:r>
      <w:r>
        <w:rPr>
          <w:rFonts w:hint="default" w:ascii="Times New Roman" w:hAnsi="Times New Roman" w:eastAsia="仿宋_GB2312" w:cs="Times New Roman"/>
          <w:sz w:val="32"/>
          <w:lang w:eastAsia="zh-CN"/>
        </w:rPr>
        <w:t>年</w:t>
      </w: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>11月于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英属维尔京群岛注册成立，2004年2月迁册至英属开曼群岛，2004年6月在香港联交所上市，通过协议控制境内主要运营实体深圳市腾讯计算机系统有限公司。主要业务包括社交和通信服务、社交网络平台、游戏、网络视频服务、互动娱乐直播等</w:t>
      </w:r>
      <w:r>
        <w:rPr>
          <w:rFonts w:hint="eastAsia" w:eastAsia="仿宋_GB2312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201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9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年全球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营业额为</w:t>
      </w:r>
      <w:r>
        <w:rPr>
          <w:rFonts w:hint="eastAsia" w:eastAsia="FangSong_GB2312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人民币（币种下同）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中国境内营业额为</w:t>
      </w:r>
      <w:r>
        <w:rPr>
          <w:rFonts w:hint="eastAsia" w:eastAsia="FangSong_GB2312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sz w:val="32"/>
          <w:szCs w:val="32"/>
        </w:rPr>
        <w:t>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topLinePunct w:val="0"/>
        <w:bidi w:val="0"/>
        <w:snapToGrid/>
        <w:spacing w:line="594" w:lineRule="exact"/>
        <w:textAlignment w:val="auto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收购方二：红杉煜辰。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2019年9月于广东省深圳市注册成立，</w:t>
      </w: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>主要从事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医疗健康、消费品或服务行业</w:t>
      </w:r>
      <w:r>
        <w:rPr>
          <w:rFonts w:hint="default" w:ascii="Times New Roman" w:hAnsi="Times New Roman" w:eastAsia="仿宋_GB2312" w:cs="Times New Roman"/>
          <w:sz w:val="32"/>
          <w:lang w:val="en-US" w:eastAsia="zh-CN"/>
        </w:rPr>
        <w:t>投资与管理业务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，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最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终控制人为</w:t>
      </w:r>
      <w:r>
        <w:rPr>
          <w:rFonts w:hint="eastAsia" w:eastAsia="FangSong_GB2312"/>
          <w:sz w:val="32"/>
          <w:szCs w:val="32"/>
          <w:lang w:val="en-US" w:eastAsia="zh-CN"/>
        </w:rPr>
        <w:t>（略）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，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2019年全球和中国境内营业额均为</w:t>
      </w:r>
      <w:r>
        <w:rPr>
          <w:rFonts w:hint="eastAsia" w:eastAsia="FangSong_GB2312"/>
          <w:sz w:val="32"/>
          <w:szCs w:val="32"/>
          <w:lang w:val="en-US" w:eastAsia="zh-CN"/>
        </w:rPr>
        <w:t>（略）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eastAsia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lang w:eastAsia="zh-CN"/>
        </w:rPr>
        <w:t>被收购方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</w:rPr>
        <w:t>：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lang w:val="en-US" w:eastAsia="zh-CN"/>
        </w:rPr>
        <w:t>酒小二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</w:rPr>
        <w:t>。</w:t>
      </w:r>
      <w:r>
        <w:rPr>
          <w:rFonts w:hint="eastAsia" w:ascii="Times New Roman" w:hAnsi="Times New Roman" w:eastAsia="仿宋_GB2312" w:cs="Times New Roman"/>
          <w:bCs/>
          <w:sz w:val="32"/>
          <w:szCs w:val="32"/>
          <w:lang w:val="en-US" w:eastAsia="zh-CN"/>
        </w:rPr>
        <w:t>2017</w:t>
      </w: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年</w:t>
      </w:r>
      <w:r>
        <w:rPr>
          <w:rFonts w:hint="eastAsia" w:ascii="Times New Roman" w:hAnsi="Times New Roman" w:eastAsia="仿宋_GB2312" w:cs="Times New Roman"/>
          <w:bCs/>
          <w:sz w:val="32"/>
          <w:szCs w:val="32"/>
          <w:lang w:val="en-US" w:eastAsia="zh-CN"/>
        </w:rPr>
        <w:t>1月</w:t>
      </w: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于</w:t>
      </w:r>
      <w:r>
        <w:rPr>
          <w:rFonts w:hint="eastAsia" w:ascii="Times New Roman" w:hAnsi="Times New Roman" w:eastAsia="仿宋_GB2312" w:cs="Times New Roman"/>
          <w:bCs/>
          <w:sz w:val="32"/>
          <w:szCs w:val="32"/>
          <w:lang w:val="en-US" w:eastAsia="zh-CN"/>
        </w:rPr>
        <w:t>广西省南宁</w:t>
      </w: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市注册成立，</w:t>
      </w:r>
      <w:r>
        <w:rPr>
          <w:rFonts w:hint="eastAsia" w:ascii="Times New Roman" w:hAnsi="Times New Roman" w:eastAsia="仿宋_GB2312" w:cs="Times New Roman"/>
          <w:sz w:val="32"/>
          <w:lang w:eastAsia="zh-CN"/>
        </w:rPr>
        <w:t>最终控制人为</w:t>
      </w:r>
      <w:r>
        <w:rPr>
          <w:rFonts w:hint="eastAsia" w:eastAsia="FangSong_GB2312"/>
          <w:sz w:val="32"/>
          <w:szCs w:val="32"/>
          <w:lang w:val="en-US" w:eastAsia="zh-CN"/>
        </w:rPr>
        <w:t>（略）</w:t>
      </w:r>
      <w:r>
        <w:rPr>
          <w:rFonts w:hint="eastAsia" w:ascii="Times New Roman" w:hAnsi="Times New Roman" w:eastAsia="仿宋_GB2312" w:cs="Times New Roman"/>
          <w:bCs/>
          <w:kern w:val="0"/>
          <w:sz w:val="32"/>
          <w:lang w:val="en-US" w:eastAsia="zh-CN"/>
        </w:rPr>
        <w:t>，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主要从事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在线酒水零售业务</w:t>
      </w:r>
      <w:r>
        <w:rPr>
          <w:rFonts w:hint="default" w:ascii="Times New Roman" w:hAnsi="Times New Roman" w:eastAsia="仿宋_GB2312" w:cs="Times New Roman"/>
          <w:sz w:val="32"/>
          <w:szCs w:val="32"/>
        </w:rPr>
        <w:t>等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201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9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年全球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中国境内营业额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均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为</w:t>
      </w:r>
      <w:r>
        <w:rPr>
          <w:rFonts w:hint="eastAsia" w:eastAsia="FangSong_GB2312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sz w:val="32"/>
          <w:szCs w:val="32"/>
        </w:rPr>
        <w:t>。</w:t>
      </w:r>
      <w:r>
        <w:rPr>
          <w:rFonts w:hint="eastAsia" w:eastAsia="仿宋_GB2312" w:cs="Times New Roman"/>
          <w:sz w:val="32"/>
          <w:szCs w:val="32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  <w:t>（二）交易概况。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94" w:lineRule="exact"/>
        <w:ind w:firstLine="641"/>
        <w:textAlignment w:val="auto"/>
        <w:outlineLvl w:val="9"/>
        <w:rPr>
          <w:rFonts w:hint="default" w:ascii="Times New Roman" w:hAnsi="Times New Roman" w:eastAsia="仿宋_GB2312" w:cs="Times New Roman"/>
          <w:bCs/>
          <w:color w:val="auto"/>
          <w:sz w:val="32"/>
          <w:szCs w:val="36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  <w:lang w:eastAsia="zh-CN"/>
        </w:rPr>
        <w:t>该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交易系</w:t>
      </w:r>
      <w:r>
        <w:rPr>
          <w:rFonts w:hint="default" w:ascii="Times New Roman" w:hAnsi="Times New Roman" w:cs="Times New Roman"/>
          <w:color w:val="auto"/>
          <w:sz w:val="32"/>
          <w:szCs w:val="32"/>
          <w:lang w:eastAsia="zh-CN"/>
        </w:rPr>
        <w:t>股权收购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。</w:t>
      </w:r>
      <w:r>
        <w:rPr>
          <w:rFonts w:hint="default" w:ascii="Times New Roman" w:hAnsi="Times New Roman" w:eastAsia="仿宋_GB2312" w:cs="Times New Roman"/>
          <w:sz w:val="32"/>
        </w:rPr>
        <w:t>20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20</w:t>
      </w:r>
      <w:r>
        <w:rPr>
          <w:rFonts w:hint="default" w:ascii="Times New Roman" w:hAnsi="Times New Roman" w:eastAsia="仿宋_GB2312" w:cs="Times New Roman"/>
          <w:sz w:val="32"/>
        </w:rPr>
        <w:t>年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11</w:t>
      </w:r>
      <w:r>
        <w:rPr>
          <w:rFonts w:hint="default" w:ascii="Times New Roman" w:hAnsi="Times New Roman" w:eastAsia="仿宋_GB2312" w:cs="Times New Roman"/>
          <w:sz w:val="32"/>
        </w:rPr>
        <w:t>月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26</w:t>
      </w:r>
      <w:r>
        <w:rPr>
          <w:rFonts w:hint="default" w:ascii="Times New Roman" w:hAnsi="Times New Roman" w:eastAsia="仿宋_GB2312" w:cs="Times New Roman"/>
          <w:sz w:val="32"/>
        </w:rPr>
        <w:t>日，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腾讯（通过</w:t>
      </w:r>
      <w:r>
        <w:rPr>
          <w:rFonts w:hint="default" w:ascii="Times New Roman" w:hAnsi="Times New Roman" w:eastAsia="仿宋_GB2312" w:cs="Times New Roman"/>
          <w:sz w:val="32"/>
          <w:szCs w:val="32"/>
          <w:vertAlign w:val="baseline"/>
          <w:lang w:val="en-US" w:eastAsia="zh-CN"/>
        </w:rPr>
        <w:t>广西腾讯创业投资有限公司</w:t>
      </w:r>
      <w:r>
        <w:rPr>
          <w:rFonts w:hint="eastAsia" w:ascii="Times New Roman" w:hAnsi="Times New Roman" w:eastAsia="仿宋_GB2312" w:cs="Times New Roman"/>
          <w:sz w:val="32"/>
          <w:szCs w:val="32"/>
          <w:vertAlign w:val="baseline"/>
          <w:lang w:val="en-US" w:eastAsia="zh-CN"/>
        </w:rPr>
        <w:t>，以下简称广西腾讯）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、红杉煜辰与酒小二原股东签订《增资协议》、《股东协议》和《股权转让协议》。广西腾讯和红杉煜辰通过增资和收购股权方式，分别取得酒小二</w:t>
      </w:r>
      <w:r>
        <w:rPr>
          <w:rFonts w:hint="eastAsia" w:ascii="Times New Roman" w:hAnsi="Times New Roman" w:eastAsia="仿宋_GB2312" w:cs="Times New Roman"/>
          <w:sz w:val="32"/>
          <w:u w:val="none"/>
          <w:lang w:val="en-US" w:eastAsia="zh-CN"/>
        </w:rPr>
        <w:t>10%和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6%股权，并取得共同控制权。此前，腾讯通过</w:t>
      </w:r>
      <w:r>
        <w:rPr>
          <w:rFonts w:hint="default" w:ascii="Times New Roman" w:hAnsi="Times New Roman" w:eastAsia="仿宋_GB2312" w:cs="Times New Roman"/>
          <w:sz w:val="32"/>
          <w:szCs w:val="32"/>
          <w:vertAlign w:val="baseline"/>
          <w:lang w:val="en-US" w:eastAsia="zh-CN"/>
        </w:rPr>
        <w:t>深圳</w:t>
      </w:r>
      <w:r>
        <w:rPr>
          <w:rFonts w:hint="eastAsia" w:ascii="Times New Roman" w:hAnsi="Times New Roman" w:eastAsia="仿宋_GB2312" w:cs="Times New Roman"/>
          <w:sz w:val="32"/>
          <w:szCs w:val="32"/>
          <w:vertAlign w:val="baseline"/>
          <w:lang w:val="en-US" w:eastAsia="zh-CN"/>
        </w:rPr>
        <w:t>市</w:t>
      </w:r>
      <w:r>
        <w:rPr>
          <w:rFonts w:hint="default" w:ascii="Times New Roman" w:hAnsi="Times New Roman" w:eastAsia="仿宋_GB2312" w:cs="Times New Roman"/>
          <w:sz w:val="32"/>
          <w:szCs w:val="32"/>
          <w:vertAlign w:val="baseline"/>
          <w:lang w:val="en-US" w:eastAsia="zh-CN"/>
        </w:rPr>
        <w:t>腾讯</w:t>
      </w:r>
      <w:r>
        <w:rPr>
          <w:rFonts w:hint="eastAsia" w:ascii="Times New Roman" w:hAnsi="Times New Roman" w:eastAsia="仿宋_GB2312" w:cs="Times New Roman"/>
          <w:sz w:val="32"/>
          <w:szCs w:val="32"/>
          <w:vertAlign w:val="baseline"/>
          <w:lang w:val="en-US" w:eastAsia="zh-CN"/>
        </w:rPr>
        <w:t>创业创新发展有限公司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原持有酒小二的2.5%股权被稀释至2.175%。交易后，腾讯共持有酒小二12.175%股权，红杉煜辰持有6%股权。2020年11月30日，酒小二完成股权变更登记手续。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>二、违法事实及理由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  <w:t>（一）本案构成</w:t>
      </w:r>
      <w:r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  <w:lang w:eastAsia="zh-CN"/>
        </w:rPr>
        <w:t>未依法申报</w:t>
      </w:r>
      <w:r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  <w:t>违法实施的经营者集中。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bCs/>
          <w:color w:val="auto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bCs/>
          <w:color w:val="auto"/>
          <w:sz w:val="32"/>
          <w:szCs w:val="32"/>
        </w:rPr>
        <w:t>《反垄断法》第二十条规定“经营者集中是指下列情形：（一）经营者合并；（二）经营者通过取得股权或者资产的方式取得对其他经营者的控制权；（三）经营者通过合同等方式取得</w:t>
      </w:r>
      <w:r>
        <w:rPr>
          <w:rFonts w:hint="default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对其他经营者的控制权或者能够对其他经营者施加决定性影响”。</w:t>
      </w:r>
      <w:r>
        <w:rPr>
          <w:rFonts w:hint="default" w:ascii="Times New Roman" w:hAnsi="Times New Roman" w:eastAsia="仿宋_GB2312" w:cs="Times New Roman"/>
          <w:sz w:val="32"/>
        </w:rPr>
        <w:t>20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20</w:t>
      </w:r>
      <w:r>
        <w:rPr>
          <w:rFonts w:hint="default" w:ascii="Times New Roman" w:hAnsi="Times New Roman" w:eastAsia="仿宋_GB2312" w:cs="Times New Roman"/>
          <w:sz w:val="32"/>
        </w:rPr>
        <w:t>年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11</w:t>
      </w:r>
      <w:r>
        <w:rPr>
          <w:rFonts w:hint="default" w:ascii="Times New Roman" w:hAnsi="Times New Roman" w:eastAsia="仿宋_GB2312" w:cs="Times New Roman"/>
          <w:sz w:val="32"/>
        </w:rPr>
        <w:t>月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26</w:t>
      </w:r>
      <w:r>
        <w:rPr>
          <w:rFonts w:hint="default" w:ascii="Times New Roman" w:hAnsi="Times New Roman" w:eastAsia="仿宋_GB2312" w:cs="Times New Roman"/>
          <w:sz w:val="32"/>
        </w:rPr>
        <w:t>日</w:t>
      </w: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，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腾讯、红杉煜辰分别取得酒小二10%、6%股权。根据《股东协议》，腾讯和红杉煜辰对酒小二享有</w:t>
      </w:r>
      <w:r>
        <w:rPr>
          <w:rFonts w:hint="eastAsia" w:eastAsia="仿宋_GB2312" w:cs="Times New Roman"/>
          <w:sz w:val="32"/>
          <w:lang w:val="en-US" w:eastAsia="zh-CN"/>
        </w:rPr>
        <w:t>共同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控制权，</w:t>
      </w:r>
      <w:r>
        <w:rPr>
          <w:rFonts w:hint="default" w:ascii="Times New Roman" w:hAnsi="Times New Roman" w:eastAsia="仿宋_GB2312" w:cs="Times New Roman"/>
          <w:bCs/>
          <w:sz w:val="32"/>
          <w:szCs w:val="36"/>
        </w:rPr>
        <w:t>属于《反垄断法》第二十条规定的经营者集中。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bCs/>
          <w:sz w:val="32"/>
        </w:rPr>
      </w:pPr>
      <w:r>
        <w:rPr>
          <w:rFonts w:hint="default" w:ascii="Times New Roman" w:hAnsi="Times New Roman" w:eastAsia="仿宋_GB2312" w:cs="Times New Roman"/>
          <w:bCs/>
          <w:sz w:val="32"/>
        </w:rPr>
        <w:t>201</w:t>
      </w:r>
      <w:r>
        <w:rPr>
          <w:rFonts w:hint="eastAsia" w:ascii="Times New Roman" w:hAnsi="Times New Roman" w:eastAsia="仿宋_GB2312" w:cs="Times New Roman"/>
          <w:bCs/>
          <w:sz w:val="32"/>
          <w:lang w:val="en-US" w:eastAsia="zh-CN"/>
        </w:rPr>
        <w:t>9</w:t>
      </w:r>
      <w:r>
        <w:rPr>
          <w:rFonts w:hint="default" w:ascii="Times New Roman" w:hAnsi="Times New Roman" w:eastAsia="仿宋_GB2312" w:cs="Times New Roman"/>
          <w:bCs/>
          <w:sz w:val="32"/>
        </w:rPr>
        <w:t>年</w:t>
      </w:r>
      <w:r>
        <w:rPr>
          <w:rFonts w:hint="eastAsia" w:ascii="Times New Roman" w:hAnsi="Times New Roman" w:eastAsia="仿宋_GB2312" w:cs="Times New Roman"/>
          <w:bCs/>
          <w:sz w:val="32"/>
          <w:lang w:val="en-US" w:eastAsia="zh-CN"/>
        </w:rPr>
        <w:t>度，腾讯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全球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营业额为</w:t>
      </w:r>
      <w:r>
        <w:rPr>
          <w:rFonts w:hint="eastAsia" w:eastAsia="FangSong_GB2312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中国境内营业额为</w:t>
      </w:r>
      <w:r>
        <w:rPr>
          <w:rFonts w:hint="eastAsia" w:eastAsia="FangSong_GB2312"/>
          <w:sz w:val="32"/>
          <w:szCs w:val="32"/>
          <w:lang w:val="en-US" w:eastAsia="zh-CN"/>
        </w:rPr>
        <w:t>（略）</w:t>
      </w:r>
      <w:r>
        <w:rPr>
          <w:rFonts w:hint="eastAsia" w:ascii="Times New Roman" w:hAnsi="Times New Roman" w:eastAsia="仿宋_GB2312" w:cs="Times New Roman"/>
          <w:bCs/>
          <w:sz w:val="32"/>
          <w:lang w:eastAsia="zh-CN"/>
        </w:rPr>
        <w:t>；</w:t>
      </w:r>
      <w:r>
        <w:rPr>
          <w:rFonts w:hint="eastAsia" w:ascii="仿宋_GB2312" w:hAnsi="仿宋_GB2312" w:eastAsia="仿宋_GB2312" w:cs="仿宋_GB2312"/>
          <w:sz w:val="32"/>
          <w:lang w:val="en-US" w:eastAsia="zh-CN"/>
        </w:rPr>
        <w:t>红杉煜辰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全球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中国境内营业额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均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为</w:t>
      </w:r>
      <w:r>
        <w:rPr>
          <w:rFonts w:hint="eastAsia" w:eastAsia="FangSong_GB2312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bCs/>
          <w:sz w:val="32"/>
        </w:rPr>
        <w:t>，达到《国务院关于经营者集中申报标准的规定》第三条规定的申报标准，属于应当申报的情形。</w:t>
      </w:r>
    </w:p>
    <w:p>
      <w:pPr>
        <w:pStyle w:val="5"/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before="0" w:beforeAutospacing="0" w:after="0" w:afterAutospacing="0" w:line="594" w:lineRule="exact"/>
        <w:ind w:firstLine="628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《反垄断法》第二十一条规定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“经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营者集中达到国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u w:val="none"/>
          <w:lang w:val="en-US" w:eastAsia="zh-CN" w:bidi="ar-SA"/>
        </w:rPr>
        <w:t>务院规定的申报标准的，经营者应当事先向国务院反垄断执法机构申报，未申报的不得实施集中”。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2020年11月30日</w:t>
      </w:r>
      <w:r>
        <w:rPr>
          <w:rFonts w:hint="default" w:ascii="Times New Roman" w:hAnsi="Times New Roman" w:eastAsia="仿宋_GB2312" w:cs="Times New Roman"/>
          <w:bCs/>
          <w:sz w:val="32"/>
          <w:szCs w:val="36"/>
        </w:rPr>
        <w:t>，</w:t>
      </w:r>
      <w:r>
        <w:rPr>
          <w:rFonts w:hint="eastAsia" w:ascii="Times New Roman" w:hAnsi="Times New Roman" w:eastAsia="仿宋_GB2312" w:cs="Times New Roman"/>
          <w:bCs/>
          <w:sz w:val="32"/>
          <w:szCs w:val="36"/>
          <w:lang w:val="en-US" w:eastAsia="zh-CN"/>
        </w:rPr>
        <w:t>酒小二</w:t>
      </w:r>
      <w:r>
        <w:rPr>
          <w:rFonts w:hint="eastAsia" w:ascii="Times New Roman" w:hAnsi="Times New Roman" w:eastAsia="仿宋_GB2312" w:cs="Times New Roman"/>
          <w:bCs/>
          <w:sz w:val="32"/>
          <w:szCs w:val="36"/>
          <w:lang w:eastAsia="zh-CN"/>
        </w:rPr>
        <w:t>完成股权变更登记</w:t>
      </w:r>
      <w:r>
        <w:rPr>
          <w:rFonts w:hint="default" w:ascii="Times New Roman" w:hAnsi="Times New Roman" w:eastAsia="仿宋_GB2312" w:cs="Times New Roman"/>
          <w:bCs/>
          <w:sz w:val="32"/>
          <w:szCs w:val="36"/>
        </w:rPr>
        <w:t>，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</w:rPr>
        <w:t>在此之前未</w:t>
      </w:r>
      <w:r>
        <w:rPr>
          <w:rFonts w:hint="eastAsia" w:ascii="Times New Roman" w:hAnsi="Times New Roman" w:eastAsia="仿宋_GB2312" w:cs="Times New Roman"/>
          <w:bCs/>
          <w:kern w:val="2"/>
          <w:sz w:val="32"/>
          <w:szCs w:val="32"/>
          <w:lang w:val="en-US" w:eastAsia="zh-CN"/>
        </w:rPr>
        <w:t>依法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</w:rPr>
        <w:t>申报，违反《反垄断法》第二十一条，构成违法实施</w:t>
      </w:r>
      <w:r>
        <w:rPr>
          <w:rFonts w:hint="default" w:ascii="Times New Roman" w:hAnsi="Times New Roman" w:eastAsia="仿宋_GB2312" w:cs="Times New Roman"/>
          <w:sz w:val="32"/>
          <w:szCs w:val="32"/>
        </w:rPr>
        <w:t>的经营者集中。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  <w:t>（二）本案不具有排除、限制竞争的效果。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ind w:firstLine="628" w:firstLineChars="200"/>
        <w:textAlignment w:val="auto"/>
        <w:outlineLvl w:val="0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本机关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/>
        </w:rPr>
        <w:t>就</w:t>
      </w: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lang w:val="en-US" w:eastAsia="zh-CN" w:bidi="ar-SA"/>
        </w:rPr>
        <w:t>腾讯</w:t>
      </w:r>
      <w:r>
        <w:rPr>
          <w:rFonts w:hint="eastAsia" w:ascii="Times New Roman" w:hAnsi="Times New Roman" w:eastAsia="仿宋_GB2312" w:cs="Times New Roman"/>
          <w:b w:val="0"/>
          <w:bCs w:val="0"/>
          <w:kern w:val="2"/>
          <w:sz w:val="32"/>
          <w:szCs w:val="32"/>
          <w:lang w:val="en-US" w:eastAsia="zh-CN" w:bidi="ar-SA"/>
        </w:rPr>
        <w:t>、</w:t>
      </w:r>
      <w:r>
        <w:rPr>
          <w:rFonts w:hint="eastAsia" w:ascii="Times New Roman" w:hAnsi="Times New Roman" w:eastAsia="仿宋_GB2312" w:cs="Times New Roman"/>
          <w:sz w:val="32"/>
          <w:szCs w:val="36"/>
          <w:lang w:val="en-US" w:eastAsia="zh-CN"/>
        </w:rPr>
        <w:t>红杉煜辰</w:t>
      </w:r>
      <w:r>
        <w:rPr>
          <w:rFonts w:hint="eastAsia" w:ascii="Times New Roman" w:hAnsi="Times New Roman" w:eastAsia="仿宋_GB2312" w:cs="Times New Roman"/>
          <w:sz w:val="32"/>
          <w:szCs w:val="36"/>
          <w:lang w:eastAsia="zh-CN"/>
        </w:rPr>
        <w:t>收购</w:t>
      </w:r>
      <w:r>
        <w:rPr>
          <w:rFonts w:hint="eastAsia" w:ascii="Times New Roman" w:hAnsi="Times New Roman" w:eastAsia="仿宋_GB2312" w:cs="Times New Roman"/>
          <w:sz w:val="32"/>
          <w:szCs w:val="36"/>
          <w:lang w:val="en-US" w:eastAsia="zh-CN"/>
        </w:rPr>
        <w:t>酒小二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股权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对市场竞争的影响进行了评估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，评估认为，该项经营者集中不会产生排除、限制竞争的效果。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>三、行政处罚依据和决定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ind w:firstLine="616" w:firstLineChars="196"/>
        <w:textAlignment w:val="auto"/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  <w:t>《反垄断法》第四十八条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  <w:t>规定“经营者违反本法规定实施集中的，由国务院反垄断执法机构责令停止实施集中、限期处分股份或者资产、限期转让营业以及采取其他必要措施恢复到集中前的状态，可以处五十万元以下的罚款”。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  <w:t>《反垄断法》第四十九条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  <w:t>规定“对本法第四十六条、第四十七条、第四十八条规定的罚款，反垄断执法机构确定具体罚款数额时，应当考虑违法行为的性质、程度和持续的时间等因素”。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  <w:t>根据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  <w:t>上述规定，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  <w:t>基于调查情况和评估结论，本机关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  <w:t>决定</w:t>
      </w:r>
      <w:r>
        <w:rPr>
          <w:rFonts w:hint="eastAsia" w:eastAsia="仿宋_GB2312" w:cs="Times New Roman"/>
          <w:bCs/>
          <w:color w:val="auto"/>
          <w:kern w:val="2"/>
          <w:sz w:val="32"/>
          <w:szCs w:val="32"/>
          <w:lang w:val="en-US" w:eastAsia="zh-CN"/>
        </w:rPr>
        <w:t>分别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  <w:t>给予</w:t>
      </w:r>
      <w:r>
        <w:rPr>
          <w:rFonts w:hint="default" w:ascii="Times New Roman" w:hAnsi="Times New Roman" w:eastAsia="仿宋_GB2312" w:cs="Times New Roman"/>
          <w:b w:val="0"/>
          <w:bCs w:val="0"/>
          <w:kern w:val="2"/>
          <w:sz w:val="32"/>
          <w:szCs w:val="32"/>
          <w:lang w:val="en-US" w:eastAsia="zh-CN" w:bidi="ar-SA"/>
        </w:rPr>
        <w:t>腾讯</w:t>
      </w:r>
      <w:r>
        <w:rPr>
          <w:rFonts w:hint="eastAsia" w:ascii="Times New Roman" w:hAnsi="Times New Roman" w:eastAsia="仿宋_GB2312" w:cs="Times New Roman"/>
          <w:b w:val="0"/>
          <w:bCs w:val="0"/>
          <w:kern w:val="2"/>
          <w:sz w:val="32"/>
          <w:szCs w:val="32"/>
          <w:lang w:val="en-US" w:eastAsia="zh-CN" w:bidi="ar-SA"/>
        </w:rPr>
        <w:t>、</w:t>
      </w:r>
      <w:r>
        <w:rPr>
          <w:rFonts w:hint="eastAsia" w:ascii="Times New Roman" w:hAnsi="Times New Roman" w:eastAsia="仿宋_GB2312" w:cs="Times New Roman"/>
          <w:sz w:val="32"/>
          <w:szCs w:val="36"/>
          <w:lang w:val="en-US" w:eastAsia="zh-CN"/>
        </w:rPr>
        <w:t>红杉煜辰</w:t>
      </w:r>
      <w:r>
        <w:rPr>
          <w:rFonts w:hint="eastAsia" w:eastAsia="仿宋_GB2312" w:cs="Times New Roman"/>
          <w:sz w:val="32"/>
          <w:szCs w:val="36"/>
          <w:lang w:val="en-US" w:eastAsia="zh-CN"/>
        </w:rPr>
        <w:t>各</w:t>
      </w:r>
      <w:bookmarkStart w:id="0" w:name="_GoBack"/>
      <w:bookmarkEnd w:id="0"/>
      <w:r>
        <w:rPr>
          <w:rFonts w:hint="default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  <w:t>0万元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  <w:t>罚款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  <w:t>的行政处罚。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《行政处罚法》第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六十七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条规定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“作出罚款决定的行政机关应当与收缴罚款的机构分离。除依照本法第六十八条、第六十九条的规定当场收缴的罚款外，作出行政处罚决定的行政机关及其执法人员不得自行收缴罚款。当事人应当自收到行政处罚决定书之日起十五日内，到指定的银行或者通过电子支付系统缴纳罚款。银行应当收受罚款，并将罚款直接上缴国库”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当事人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应当自收到本行政处罚决定书之日起十五日内，携缴款码到1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家中央财政非税收入收缴代理银行（工、农、中、建、交、中信、光大、招商、邮储、华夏、平安、兴业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、民生、广发、浙商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）任一银行网点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网上银行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/>
        </w:rPr>
        <w:t>缴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纳罚款。缴款码：</w:t>
      </w:r>
      <w:r>
        <w:rPr>
          <w:rFonts w:hint="eastAsia" w:eastAsia="FangSong_GB2312"/>
          <w:sz w:val="32"/>
          <w:szCs w:val="32"/>
          <w:lang w:val="en-US" w:eastAsia="zh-CN"/>
        </w:rPr>
        <w:t>（略）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当事人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 xml:space="preserve">如对上述行政处罚决定不服，可以自收到本行政处罚决定书之日起六十日内，向国家市场监督管理总局申请行政复议；或者自收到本行政处罚决定书之日起六个月内，依法向人民法院提起行政诉讼。行政复议或者行政诉讼期间，本行政处罚决定不停止执行。 </w:t>
      </w:r>
    </w:p>
    <w:p>
      <w:pPr>
        <w:pStyle w:val="3"/>
        <w:keepNext w:val="0"/>
        <w:keepLines w:val="0"/>
        <w:pageBreakBefore w:val="0"/>
        <w:widowControl w:val="0"/>
        <w:kinsoku/>
        <w:wordWrap/>
        <w:topLinePunct w:val="0"/>
        <w:bidi w:val="0"/>
        <w:spacing w:after="0" w:line="594" w:lineRule="exact"/>
        <w:textAlignment w:val="auto"/>
        <w:rPr>
          <w:rFonts w:hint="default" w:ascii="Times New Roman" w:hAnsi="Times New Roman" w:cs="Times New Roman"/>
          <w:color w:val="auto"/>
        </w:rPr>
      </w:pP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napToGrid w:val="0"/>
        <w:spacing w:line="594" w:lineRule="exact"/>
        <w:ind w:firstLine="5433" w:firstLineChars="1730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市场监管总局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napToGrid w:val="0"/>
        <w:spacing w:line="594" w:lineRule="exact"/>
        <w:ind w:firstLine="5225" w:firstLineChars="1664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202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/>
        </w:rPr>
        <w:t>1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年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/>
        </w:rPr>
        <w:t>1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/>
        </w:rPr>
        <w:t>2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月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/>
        </w:rPr>
        <w:t>31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日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ind w:firstLine="628" w:firstLineChars="200"/>
        <w:textAlignment w:val="auto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（此件公开发布）</w:t>
      </w:r>
    </w:p>
    <w:sectPr>
      <w:footerReference r:id="rId3" w:type="default"/>
      <w:footerReference r:id="rId4" w:type="even"/>
      <w:pgSz w:w="11906" w:h="16838"/>
      <w:pgMar w:top="1440" w:right="1803" w:bottom="1440" w:left="1803" w:header="851" w:footer="1814" w:gutter="0"/>
      <w:cols w:space="0" w:num="1"/>
      <w:rtlGutter w:val="0"/>
      <w:docGrid w:type="linesAndChars" w:linePitch="290" w:charSpace="-1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FangSong_GB2312">
    <w:altName w:val="仿宋_GB2312"/>
    <w:panose1 w:val="02010609030101010101"/>
    <w:charset w:val="86"/>
    <w:family w:val="modern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ind w:left="315" w:leftChars="150" w:right="315" w:rightChars="150"/>
      <w:rPr>
        <w:rStyle w:val="8"/>
        <w:rFonts w:hint="eastAsia" w:ascii="宋体" w:hAnsi="宋体"/>
        <w:sz w:val="28"/>
        <w:szCs w:val="28"/>
      </w:rPr>
    </w:pPr>
    <w:r>
      <w:rPr>
        <w:rStyle w:val="8"/>
        <w:rFonts w:hint="eastAsia" w:ascii="宋体" w:hAnsi="宋体"/>
        <w:sz w:val="28"/>
        <w:szCs w:val="28"/>
      </w:rPr>
      <w:t xml:space="preserve">— </w:t>
    </w:r>
    <w:r>
      <w:rPr>
        <w:rStyle w:val="8"/>
        <w:rFonts w:ascii="宋体" w:hAnsi="宋体"/>
        <w:sz w:val="28"/>
        <w:szCs w:val="28"/>
      </w:rPr>
      <w:fldChar w:fldCharType="begin"/>
    </w:r>
    <w:r>
      <w:rPr>
        <w:rStyle w:val="8"/>
        <w:rFonts w:ascii="宋体" w:hAnsi="宋体"/>
        <w:sz w:val="28"/>
        <w:szCs w:val="28"/>
      </w:rPr>
      <w:instrText xml:space="preserve">PAGE  </w:instrText>
    </w:r>
    <w:r>
      <w:rPr>
        <w:rStyle w:val="8"/>
        <w:rFonts w:ascii="宋体" w:hAnsi="宋体"/>
        <w:sz w:val="28"/>
        <w:szCs w:val="28"/>
      </w:rPr>
      <w:fldChar w:fldCharType="separate"/>
    </w:r>
    <w:r>
      <w:rPr>
        <w:rStyle w:val="8"/>
        <w:rFonts w:ascii="宋体" w:hAnsi="宋体"/>
        <w:sz w:val="28"/>
        <w:szCs w:val="28"/>
      </w:rPr>
      <w:t>1</w:t>
    </w:r>
    <w:r>
      <w:rPr>
        <w:rStyle w:val="8"/>
        <w:rFonts w:ascii="宋体" w:hAnsi="宋体"/>
        <w:sz w:val="28"/>
        <w:szCs w:val="28"/>
      </w:rPr>
      <w:fldChar w:fldCharType="end"/>
    </w:r>
    <w:r>
      <w:rPr>
        <w:rStyle w:val="8"/>
        <w:rFonts w:hint="eastAsia" w:ascii="宋体" w:hAnsi="宋体"/>
        <w:sz w:val="28"/>
        <w:szCs w:val="28"/>
      </w:rPr>
      <w:t xml:space="preserve"> —</w:t>
    </w:r>
  </w:p>
  <w:p>
    <w:pPr>
      <w:pStyle w:val="4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>
    <w:pPr>
      <w:pStyle w:val="4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4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3570B1"/>
    <w:rsid w:val="0023200C"/>
    <w:rsid w:val="04772CCF"/>
    <w:rsid w:val="05D15580"/>
    <w:rsid w:val="06C5506E"/>
    <w:rsid w:val="06DB7938"/>
    <w:rsid w:val="075F674C"/>
    <w:rsid w:val="09AC08F5"/>
    <w:rsid w:val="0F161606"/>
    <w:rsid w:val="0FA61C03"/>
    <w:rsid w:val="13F85EFD"/>
    <w:rsid w:val="16657401"/>
    <w:rsid w:val="169767E4"/>
    <w:rsid w:val="173B2FCB"/>
    <w:rsid w:val="18DB1E51"/>
    <w:rsid w:val="192053EE"/>
    <w:rsid w:val="1A156921"/>
    <w:rsid w:val="1B095395"/>
    <w:rsid w:val="1C11264C"/>
    <w:rsid w:val="1D3570B1"/>
    <w:rsid w:val="1EB86E2C"/>
    <w:rsid w:val="1ED67F29"/>
    <w:rsid w:val="1F573D93"/>
    <w:rsid w:val="21623065"/>
    <w:rsid w:val="21A54411"/>
    <w:rsid w:val="230C79BC"/>
    <w:rsid w:val="239A0124"/>
    <w:rsid w:val="265326DA"/>
    <w:rsid w:val="28C8606C"/>
    <w:rsid w:val="29171A1E"/>
    <w:rsid w:val="2A7A6DC6"/>
    <w:rsid w:val="2B0F6D0F"/>
    <w:rsid w:val="31E778A8"/>
    <w:rsid w:val="33684C36"/>
    <w:rsid w:val="33B94AAA"/>
    <w:rsid w:val="33E16394"/>
    <w:rsid w:val="38043EF0"/>
    <w:rsid w:val="39E75B24"/>
    <w:rsid w:val="3B252C68"/>
    <w:rsid w:val="3D086E74"/>
    <w:rsid w:val="3FAD2E94"/>
    <w:rsid w:val="4297136E"/>
    <w:rsid w:val="43B84B68"/>
    <w:rsid w:val="44F1186A"/>
    <w:rsid w:val="48A63464"/>
    <w:rsid w:val="49513DE5"/>
    <w:rsid w:val="49F75885"/>
    <w:rsid w:val="4ABC40B8"/>
    <w:rsid w:val="4EF957B9"/>
    <w:rsid w:val="4EFD73AF"/>
    <w:rsid w:val="505B6D86"/>
    <w:rsid w:val="51075873"/>
    <w:rsid w:val="52A77C54"/>
    <w:rsid w:val="56EA563C"/>
    <w:rsid w:val="5A3853F1"/>
    <w:rsid w:val="5B1D24D8"/>
    <w:rsid w:val="5BDD2331"/>
    <w:rsid w:val="5C686AC3"/>
    <w:rsid w:val="5D4E6DD5"/>
    <w:rsid w:val="630535E1"/>
    <w:rsid w:val="63432760"/>
    <w:rsid w:val="640E6FE8"/>
    <w:rsid w:val="68197930"/>
    <w:rsid w:val="686D740E"/>
    <w:rsid w:val="6A564164"/>
    <w:rsid w:val="6CFD9769"/>
    <w:rsid w:val="6F712D0C"/>
    <w:rsid w:val="7073388E"/>
    <w:rsid w:val="74782380"/>
    <w:rsid w:val="74BA4D7D"/>
    <w:rsid w:val="799C3559"/>
    <w:rsid w:val="7A782B89"/>
    <w:rsid w:val="7CE345AA"/>
    <w:rsid w:val="7D641176"/>
    <w:rsid w:val="DFDB0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spacing w:line="360" w:lineRule="exact"/>
      <w:ind w:firstLine="420" w:firstLineChars="200"/>
    </w:pPr>
    <w:rPr>
      <w:szCs w:val="20"/>
    </w:rPr>
  </w:style>
  <w:style w:type="paragraph" w:styleId="3">
    <w:name w:val="Body Text"/>
    <w:basedOn w:val="1"/>
    <w:unhideWhenUsed/>
    <w:qFormat/>
    <w:uiPriority w:val="0"/>
    <w:pPr>
      <w:spacing w:after="120"/>
    </w:pPr>
    <w:rPr>
      <w:rFonts w:ascii="Calibri" w:hAnsi="Calibri" w:eastAsia="宋体" w:cs="Times New Roman"/>
      <w:szCs w:val="22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page number"/>
    <w:basedOn w:val="7"/>
    <w:qFormat/>
    <w:uiPriority w:val="0"/>
  </w:style>
  <w:style w:type="paragraph" w:customStyle="1" w:styleId="9">
    <w:name w:val="内容"/>
    <w:basedOn w:val="1"/>
    <w:qFormat/>
    <w:uiPriority w:val="0"/>
    <w:pPr>
      <w:suppressAutoHyphens/>
      <w:overflowPunct w:val="0"/>
      <w:autoSpaceDE w:val="0"/>
      <w:autoSpaceDN w:val="0"/>
      <w:adjustRightInd w:val="0"/>
      <w:spacing w:line="360" w:lineRule="auto"/>
      <w:ind w:firstLine="200" w:firstLineChars="200"/>
    </w:pPr>
    <w:rPr>
      <w:rFonts w:ascii="仿宋_GB2312" w:hAnsi="仿宋_GB2312" w:eastAsia="仿宋_GB231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2020-12-10T10:26:00Z</dcterms:created>
  <dc:creator>徐霄飞</dc:creator>
  <cp:lastModifiedBy>张宝成</cp:lastModifiedBy>
  <cp:lastPrinted>2021-12-29T01:32:00Z</cp:lastPrinted>
  <dcterms:modified xsi:type="dcterms:W3CDTF">2021-12-31T09:05:06Z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